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val="0"/>
        <w:topLinePunct/>
        <w:autoSpaceDE/>
        <w:autoSpaceDN/>
        <w:bidi w:val="0"/>
        <w:adjustRightInd w:val="0"/>
        <w:snapToGrid w:val="0"/>
        <w:spacing w:line="560" w:lineRule="exact"/>
        <w:jc w:val="both"/>
        <w:rPr>
          <w:rFonts w:hint="default" w:ascii="Times New Roman" w:hAnsi="Times New Roman" w:eastAsia="方正小标宋_GBK" w:cs="Times New Roman"/>
          <w:snapToGrid w:val="0"/>
          <w:color w:val="000000" w:themeColor="text1"/>
          <w:kern w:val="0"/>
          <w:sz w:val="44"/>
          <w:szCs w:val="44"/>
          <w:lang w:val="en-US" w:eastAsia="zh-CN"/>
          <w14:textFill>
            <w14:solidFill>
              <w14:schemeClr w14:val="tx1"/>
            </w14:solidFill>
          </w14:textFill>
        </w:rPr>
      </w:pPr>
      <w:r>
        <w:rPr>
          <w:rFonts w:hint="default"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附件1</w:t>
      </w:r>
    </w:p>
    <w:p>
      <w:pPr>
        <w:pStyle w:val="4"/>
        <w:keepNext w:val="0"/>
        <w:keepLines w:val="0"/>
        <w:pageBreakBefore w:val="0"/>
        <w:widowControl w:val="0"/>
        <w:kinsoku/>
        <w:wordWrap/>
        <w:overflowPunct w:val="0"/>
        <w:topLinePunct/>
        <w:autoSpaceDE/>
        <w:autoSpaceDN/>
        <w:bidi w:val="0"/>
        <w:adjustRightInd w:val="0"/>
        <w:snapToGrid w:val="0"/>
        <w:spacing w:line="560" w:lineRule="exact"/>
        <w:jc w:val="center"/>
        <w:rPr>
          <w:rFonts w:hint="eastAsia" w:ascii="方正小标宋简体" w:hAnsi="方正小标宋简体" w:eastAsia="方正小标宋简体" w:cs="方正小标宋简体"/>
          <w:snapToGrid w:val="0"/>
          <w:color w:val="000000" w:themeColor="text1"/>
          <w:kern w:val="0"/>
          <w:sz w:val="44"/>
          <w:szCs w:val="44"/>
          <w:lang w:eastAsia="zh-CN"/>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t>涉企</w:t>
      </w:r>
      <w:r>
        <w:rPr>
          <w:rFonts w:hint="eastAsia" w:ascii="方正小标宋简体" w:hAnsi="方正小标宋简体" w:eastAsia="方正小标宋简体" w:cs="方正小标宋简体"/>
          <w:snapToGrid w:val="0"/>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t>预防为主</w:t>
      </w:r>
      <w:r>
        <w:rPr>
          <w:rFonts w:hint="eastAsia" w:ascii="方正小标宋简体" w:hAnsi="方正小标宋简体" w:eastAsia="方正小标宋简体" w:cs="方正小标宋简体"/>
          <w:snapToGrid w:val="0"/>
          <w:color w:val="000000" w:themeColor="text1"/>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t>指导清单</w:t>
      </w:r>
      <w:r>
        <w:rPr>
          <w:rFonts w:hint="eastAsia" w:ascii="方正小标宋简体" w:hAnsi="方正小标宋简体" w:eastAsia="方正小标宋简体" w:cs="方正小标宋简体"/>
          <w:snapToGrid w:val="0"/>
          <w:color w:val="000000" w:themeColor="text1"/>
          <w:kern w:val="0"/>
          <w:sz w:val="44"/>
          <w:szCs w:val="44"/>
          <w:lang w:eastAsia="zh-CN"/>
          <w14:textFill>
            <w14:solidFill>
              <w14:schemeClr w14:val="tx1"/>
            </w14:solidFill>
          </w14:textFill>
        </w:rPr>
        <w:t>（通用版）</w:t>
      </w:r>
    </w:p>
    <w:p>
      <w:pPr>
        <w:pStyle w:val="4"/>
        <w:keepNext w:val="0"/>
        <w:keepLines w:val="0"/>
        <w:pageBreakBefore w:val="0"/>
        <w:widowControl w:val="0"/>
        <w:kinsoku/>
        <w:wordWrap/>
        <w:overflowPunct w:val="0"/>
        <w:topLinePunct/>
        <w:autoSpaceDE/>
        <w:autoSpaceDN/>
        <w:bidi w:val="0"/>
        <w:adjustRightInd w:val="0"/>
        <w:snapToGrid w:val="0"/>
        <w:spacing w:line="200" w:lineRule="exact"/>
        <w:jc w:val="both"/>
        <w:textAlignment w:val="baseline"/>
        <w:rPr>
          <w:rFonts w:hint="default" w:ascii="Times New Roman" w:hAnsi="Times New Roman" w:eastAsia="方正小标宋_GBK" w:cs="Times New Roman"/>
          <w:snapToGrid w:val="0"/>
          <w:color w:val="000000" w:themeColor="text1"/>
          <w:kern w:val="0"/>
          <w:sz w:val="44"/>
          <w:szCs w:val="44"/>
          <w14:textFill>
            <w14:solidFill>
              <w14:schemeClr w14:val="tx1"/>
            </w14:solidFill>
          </w14:textFil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440"/>
        <w:gridCol w:w="3030"/>
        <w:gridCol w:w="4230"/>
        <w:gridCol w:w="975"/>
        <w:gridCol w:w="223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widowControl w:val="0"/>
              <w:overflowPunct w:val="0"/>
              <w:autoSpaceDE w:val="0"/>
              <w:autoSpaceDN w:val="0"/>
              <w:spacing w:line="240" w:lineRule="atLeast"/>
              <w:jc w:val="center"/>
              <w:rPr>
                <w:rFonts w:hint="eastAsia" w:ascii="黑体" w:hAnsi="黑体" w:eastAsia="黑体" w:cs="黑体"/>
                <w:snapToGrid w:val="0"/>
                <w:color w:val="000000" w:themeColor="text1"/>
                <w:kern w:val="0"/>
                <w:sz w:val="21"/>
                <w:szCs w:val="21"/>
                <w:vertAlign w:val="baseline"/>
                <w:lang w:val="en-US" w:eastAsia="zh-CN"/>
                <w14:textFill>
                  <w14:solidFill>
                    <w14:schemeClr w14:val="tx1"/>
                  </w14:solidFill>
                </w14:textFill>
              </w:rPr>
            </w:pPr>
            <w:r>
              <w:rPr>
                <w:rFonts w:hint="eastAsia" w:ascii="黑体" w:hAnsi="黑体" w:eastAsia="黑体" w:cs="黑体"/>
                <w:sz w:val="18"/>
                <w:szCs w:val="18"/>
              </w:rPr>
              <w:t>序号</w:t>
            </w:r>
          </w:p>
        </w:tc>
        <w:tc>
          <w:tcPr>
            <w:tcW w:w="1440" w:type="dxa"/>
            <w:vAlign w:val="center"/>
          </w:tcPr>
          <w:p>
            <w:pPr>
              <w:widowControl w:val="0"/>
              <w:overflowPunct w:val="0"/>
              <w:autoSpaceDE w:val="0"/>
              <w:autoSpaceDN w:val="0"/>
              <w:spacing w:line="240" w:lineRule="atLeast"/>
              <w:jc w:val="center"/>
              <w:rPr>
                <w:rFonts w:hint="eastAsia" w:ascii="黑体" w:hAnsi="黑体" w:eastAsia="黑体" w:cs="黑体"/>
                <w:snapToGrid w:val="0"/>
                <w:color w:val="000000" w:themeColor="text1"/>
                <w:kern w:val="0"/>
                <w:sz w:val="21"/>
                <w:szCs w:val="21"/>
                <w:vertAlign w:val="baseline"/>
                <w:lang w:val="en-US" w:eastAsia="zh-CN"/>
                <w14:textFill>
                  <w14:solidFill>
                    <w14:schemeClr w14:val="tx1"/>
                  </w14:solidFill>
                </w14:textFill>
              </w:rPr>
            </w:pPr>
            <w:r>
              <w:rPr>
                <w:rFonts w:hint="eastAsia" w:ascii="黑体" w:hAnsi="黑体" w:eastAsia="黑体" w:cs="黑体"/>
                <w:sz w:val="18"/>
                <w:szCs w:val="18"/>
                <w:lang w:eastAsia="zh-CN"/>
              </w:rPr>
              <w:t>指导</w:t>
            </w:r>
            <w:r>
              <w:rPr>
                <w:rFonts w:hint="eastAsia" w:ascii="黑体" w:hAnsi="黑体" w:eastAsia="黑体" w:cs="黑体"/>
                <w:sz w:val="18"/>
                <w:szCs w:val="18"/>
              </w:rPr>
              <w:t>事项</w:t>
            </w:r>
          </w:p>
        </w:tc>
        <w:tc>
          <w:tcPr>
            <w:tcW w:w="3030" w:type="dxa"/>
            <w:vAlign w:val="center"/>
          </w:tcPr>
          <w:p>
            <w:pPr>
              <w:widowControl w:val="0"/>
              <w:overflowPunct w:val="0"/>
              <w:autoSpaceDE w:val="0"/>
              <w:autoSpaceDN w:val="0"/>
              <w:spacing w:line="240" w:lineRule="atLeast"/>
              <w:jc w:val="center"/>
              <w:rPr>
                <w:rFonts w:hint="eastAsia" w:ascii="黑体" w:hAnsi="黑体" w:eastAsia="黑体" w:cs="黑体"/>
                <w:snapToGrid w:val="0"/>
                <w:color w:val="000000" w:themeColor="text1"/>
                <w:kern w:val="0"/>
                <w:sz w:val="21"/>
                <w:szCs w:val="21"/>
                <w:vertAlign w:val="baseline"/>
                <w:lang w:val="en-US" w:eastAsia="zh-CN"/>
                <w14:textFill>
                  <w14:solidFill>
                    <w14:schemeClr w14:val="tx1"/>
                  </w14:solidFill>
                </w14:textFill>
              </w:rPr>
            </w:pPr>
            <w:r>
              <w:rPr>
                <w:rFonts w:hint="eastAsia" w:ascii="黑体" w:hAnsi="黑体" w:eastAsia="黑体" w:cs="黑体"/>
                <w:sz w:val="18"/>
                <w:szCs w:val="18"/>
              </w:rPr>
              <w:t>常见违法行为表现</w:t>
            </w:r>
          </w:p>
        </w:tc>
        <w:tc>
          <w:tcPr>
            <w:tcW w:w="4230" w:type="dxa"/>
            <w:vAlign w:val="center"/>
          </w:tcPr>
          <w:p>
            <w:pPr>
              <w:widowControl w:val="0"/>
              <w:overflowPunct w:val="0"/>
              <w:autoSpaceDE w:val="0"/>
              <w:autoSpaceDN w:val="0"/>
              <w:spacing w:line="240" w:lineRule="atLeast"/>
              <w:jc w:val="center"/>
              <w:rPr>
                <w:rFonts w:hint="eastAsia" w:ascii="黑体" w:hAnsi="黑体" w:eastAsia="黑体" w:cs="黑体"/>
                <w:snapToGrid w:val="0"/>
                <w:color w:val="000000" w:themeColor="text1"/>
                <w:kern w:val="0"/>
                <w:sz w:val="21"/>
                <w:szCs w:val="21"/>
                <w:vertAlign w:val="baseline"/>
                <w:lang w:val="en-US" w:eastAsia="zh-CN"/>
                <w14:textFill>
                  <w14:solidFill>
                    <w14:schemeClr w14:val="tx1"/>
                  </w14:solidFill>
                </w14:textFill>
              </w:rPr>
            </w:pPr>
            <w:r>
              <w:rPr>
                <w:rFonts w:hint="eastAsia" w:ascii="黑体" w:hAnsi="黑体" w:eastAsia="黑体" w:cs="黑体"/>
                <w:sz w:val="18"/>
                <w:szCs w:val="18"/>
              </w:rPr>
              <w:t>法律依据及违法责任</w:t>
            </w:r>
          </w:p>
        </w:tc>
        <w:tc>
          <w:tcPr>
            <w:tcW w:w="975" w:type="dxa"/>
            <w:vAlign w:val="center"/>
          </w:tcPr>
          <w:p>
            <w:pPr>
              <w:widowControl w:val="0"/>
              <w:overflowPunct w:val="0"/>
              <w:autoSpaceDE w:val="0"/>
              <w:autoSpaceDN w:val="0"/>
              <w:spacing w:line="240" w:lineRule="atLeast"/>
              <w:jc w:val="center"/>
              <w:rPr>
                <w:rFonts w:hint="eastAsia" w:ascii="黑体" w:hAnsi="黑体" w:eastAsia="黑体" w:cs="黑体"/>
                <w:snapToGrid w:val="0"/>
                <w:color w:val="000000" w:themeColor="text1"/>
                <w:kern w:val="0"/>
                <w:sz w:val="21"/>
                <w:szCs w:val="21"/>
                <w:vertAlign w:val="baseline"/>
                <w:lang w:val="en-US" w:eastAsia="zh-CN"/>
                <w14:textFill>
                  <w14:solidFill>
                    <w14:schemeClr w14:val="tx1"/>
                  </w14:solidFill>
                </w14:textFill>
              </w:rPr>
            </w:pPr>
            <w:r>
              <w:rPr>
                <w:rFonts w:hint="eastAsia" w:ascii="黑体" w:hAnsi="黑体" w:eastAsia="黑体" w:cs="黑体"/>
                <w:sz w:val="18"/>
                <w:szCs w:val="18"/>
              </w:rPr>
              <w:t>发生频率</w:t>
            </w:r>
          </w:p>
        </w:tc>
        <w:tc>
          <w:tcPr>
            <w:tcW w:w="2230" w:type="dxa"/>
            <w:vAlign w:val="center"/>
          </w:tcPr>
          <w:p>
            <w:pPr>
              <w:widowControl w:val="0"/>
              <w:overflowPunct w:val="0"/>
              <w:autoSpaceDE w:val="0"/>
              <w:autoSpaceDN w:val="0"/>
              <w:spacing w:line="240" w:lineRule="atLeast"/>
              <w:jc w:val="center"/>
              <w:rPr>
                <w:rFonts w:hint="eastAsia" w:ascii="黑体" w:hAnsi="黑体" w:eastAsia="黑体" w:cs="黑体"/>
                <w:snapToGrid w:val="0"/>
                <w:color w:val="000000" w:themeColor="text1"/>
                <w:kern w:val="0"/>
                <w:sz w:val="21"/>
                <w:szCs w:val="21"/>
                <w:vertAlign w:val="baseline"/>
                <w:lang w:val="en-US" w:eastAsia="zh-CN"/>
                <w14:textFill>
                  <w14:solidFill>
                    <w14:schemeClr w14:val="tx1"/>
                  </w14:solidFill>
                </w14:textFill>
              </w:rPr>
            </w:pPr>
            <w:r>
              <w:rPr>
                <w:rFonts w:hint="eastAsia" w:ascii="黑体" w:hAnsi="黑体" w:eastAsia="黑体" w:cs="黑体"/>
                <w:sz w:val="18"/>
                <w:szCs w:val="18"/>
              </w:rPr>
              <w:t>建议</w:t>
            </w:r>
          </w:p>
        </w:tc>
        <w:tc>
          <w:tcPr>
            <w:tcW w:w="1647" w:type="dxa"/>
            <w:vAlign w:val="center"/>
          </w:tcPr>
          <w:p>
            <w:pPr>
              <w:widowControl w:val="0"/>
              <w:overflowPunct w:val="0"/>
              <w:autoSpaceDE w:val="0"/>
              <w:autoSpaceDN w:val="0"/>
              <w:spacing w:line="240" w:lineRule="atLeast"/>
              <w:jc w:val="center"/>
              <w:rPr>
                <w:rFonts w:hint="eastAsia" w:ascii="黑体" w:hAnsi="黑体" w:eastAsia="黑体" w:cs="黑体"/>
                <w:sz w:val="18"/>
                <w:szCs w:val="18"/>
              </w:rPr>
            </w:pPr>
            <w:r>
              <w:rPr>
                <w:rFonts w:hint="eastAsia" w:ascii="黑体" w:hAnsi="黑体" w:eastAsia="黑体" w:cs="黑体"/>
                <w:sz w:val="18"/>
                <w:szCs w:val="18"/>
              </w:rPr>
              <w:t>指导部门</w:t>
            </w:r>
          </w:p>
          <w:p>
            <w:pPr>
              <w:widowControl w:val="0"/>
              <w:overflowPunct w:val="0"/>
              <w:autoSpaceDE w:val="0"/>
              <w:autoSpaceDN w:val="0"/>
              <w:spacing w:line="240" w:lineRule="atLeast"/>
              <w:jc w:val="center"/>
              <w:rPr>
                <w:rFonts w:hint="eastAsia" w:ascii="黑体" w:hAnsi="黑体" w:eastAsia="黑体" w:cs="黑体"/>
                <w:snapToGrid w:val="0"/>
                <w:color w:val="000000" w:themeColor="text1"/>
                <w:kern w:val="0"/>
                <w:sz w:val="21"/>
                <w:szCs w:val="21"/>
                <w:vertAlign w:val="baseline"/>
                <w:lang w:val="en-US" w:eastAsia="zh-CN"/>
                <w14:textFill>
                  <w14:solidFill>
                    <w14:schemeClr w14:val="tx1"/>
                  </w14:solidFill>
                </w14:textFill>
              </w:rPr>
            </w:pPr>
            <w:r>
              <w:rPr>
                <w:rFonts w:hint="eastAsia" w:ascii="黑体" w:hAnsi="黑体" w:eastAsia="黑体" w:cs="黑体"/>
                <w:sz w:val="18"/>
                <w:szCs w:val="18"/>
              </w:rPr>
              <w:t>（机构/科室）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trPr>
        <w:tc>
          <w:tcPr>
            <w:tcW w:w="622" w:type="dxa"/>
          </w:tcPr>
          <w:p>
            <w:pPr>
              <w:pStyle w:val="4"/>
              <w:keepNext w:val="0"/>
              <w:keepLines w:val="0"/>
              <w:pageBreakBefore w:val="0"/>
              <w:widowControl w:val="0"/>
              <w:kinsoku/>
              <w:wordWrap/>
              <w:overflowPunct w:val="0"/>
              <w:topLinePunct/>
              <w:autoSpaceDE/>
              <w:autoSpaceDN/>
              <w:bidi w:val="0"/>
              <w:adjustRightInd w:val="0"/>
              <w:snapToGrid w:val="0"/>
              <w:spacing w:line="320" w:lineRule="exact"/>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ind w:firstLine="200" w:firstLineChars="100"/>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
                <w14:textFill>
                  <w14:solidFill>
                    <w14:schemeClr w14:val="tx1"/>
                  </w14:solidFill>
                </w14:textFill>
              </w:rPr>
              <w:t>1</w:t>
            </w:r>
          </w:p>
        </w:tc>
        <w:tc>
          <w:tcPr>
            <w:tcW w:w="1440" w:type="dxa"/>
          </w:tcPr>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t>依法依规、公开、公平、公正、诚实信用参与政府采购活动</w:t>
            </w:r>
          </w:p>
        </w:tc>
        <w:tc>
          <w:tcPr>
            <w:tcW w:w="3030" w:type="dxa"/>
          </w:tcPr>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t>(一)提供虚假材料谋取中标、成交的；</w:t>
            </w: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t>(二)采取不正当手段诋毁、排挤其他供应商的；</w:t>
            </w: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t>(三)与采购人、其他供应商或者采购代理机构恶意串通的；</w:t>
            </w: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t>(四)向采购人、采购代理机构行贿或者提供其他不正当利益的；</w:t>
            </w: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t>(五)在招标采购过程中与采购人进行协商谈判的；</w:t>
            </w: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t>(六)拒绝有关部门监督检查或者提供虚假情况的。</w:t>
            </w:r>
          </w:p>
        </w:tc>
        <w:tc>
          <w:tcPr>
            <w:tcW w:w="4230" w:type="dxa"/>
          </w:tcPr>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t>《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p>
        </w:tc>
        <w:tc>
          <w:tcPr>
            <w:tcW w:w="975" w:type="dxa"/>
          </w:tcPr>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ascii="Segoe UI Symbol" w:hAnsi="Segoe UI Symbol" w:cs="Segoe UI Symbol"/>
                <w:sz w:val="18"/>
                <w:szCs w:val="18"/>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ascii="Segoe UI Symbol" w:hAnsi="Segoe UI Symbol" w:cs="Segoe UI Symbol"/>
                <w:sz w:val="18"/>
                <w:szCs w:val="18"/>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ascii="Segoe UI Symbol" w:hAnsi="Segoe UI Symbol" w:cs="Segoe UI Symbol"/>
                <w:sz w:val="18"/>
                <w:szCs w:val="18"/>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ascii="Segoe UI Symbol" w:hAnsi="Segoe UI Symbol" w:cs="Segoe UI Symbol"/>
                <w:sz w:val="18"/>
                <w:szCs w:val="18"/>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ascii="Segoe UI Symbol" w:hAnsi="Segoe UI Symbol" w:cs="Segoe UI Symbol"/>
                <w:sz w:val="18"/>
                <w:szCs w:val="18"/>
              </w:rPr>
            </w:pPr>
          </w:p>
          <w:p>
            <w:pPr>
              <w:pStyle w:val="4"/>
              <w:keepNext w:val="0"/>
              <w:keepLines w:val="0"/>
              <w:pageBreakBefore w:val="0"/>
              <w:widowControl w:val="0"/>
              <w:kinsoku/>
              <w:wordWrap/>
              <w:overflowPunct w:val="0"/>
              <w:topLinePunct/>
              <w:autoSpaceDE/>
              <w:autoSpaceDN/>
              <w:bidi w:val="0"/>
              <w:adjustRightInd w:val="0"/>
              <w:snapToGrid w:val="0"/>
              <w:spacing w:line="320" w:lineRule="exact"/>
              <w:ind w:firstLine="180" w:firstLineChars="100"/>
              <w:jc w:val="left"/>
              <w:textAlignment w:val="baseline"/>
              <w:rPr>
                <w:rFonts w:ascii="Segoe UI Symbol" w:hAnsi="Segoe UI Symbol" w:cs="Segoe UI Symbol"/>
                <w:sz w:val="18"/>
                <w:szCs w:val="18"/>
              </w:rPr>
            </w:pPr>
            <w:r>
              <w:rPr>
                <w:rFonts w:ascii="Segoe UI Symbol" w:hAnsi="Segoe UI Symbol" w:cs="Segoe UI Symbol"/>
                <w:sz w:val="18"/>
                <w:szCs w:val="18"/>
              </w:rPr>
              <w:t>★</w:t>
            </w: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14:textFill>
                  <w14:solidFill>
                    <w14:schemeClr w14:val="tx1"/>
                  </w14:solidFill>
                </w14:textFill>
              </w:rPr>
            </w:pPr>
          </w:p>
        </w:tc>
        <w:tc>
          <w:tcPr>
            <w:tcW w:w="2230" w:type="dxa"/>
          </w:tcPr>
          <w:p>
            <w:pPr>
              <w:keepNext w:val="0"/>
              <w:keepLines w:val="0"/>
              <w:pageBreakBefore w:val="0"/>
              <w:widowControl/>
              <w:suppressLineNumbers w:val="0"/>
              <w:kinsoku/>
              <w:wordWrap/>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keepNext w:val="0"/>
              <w:keepLines w:val="0"/>
              <w:pageBreakBefore w:val="0"/>
              <w:widowControl/>
              <w:suppressLineNumbers w:val="0"/>
              <w:kinsoku/>
              <w:wordWrap/>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keepNext w:val="0"/>
              <w:keepLines w:val="0"/>
              <w:pageBreakBefore w:val="0"/>
              <w:widowControl/>
              <w:suppressLineNumbers w:val="0"/>
              <w:kinsoku/>
              <w:wordWrap/>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keepNext w:val="0"/>
              <w:keepLines w:val="0"/>
              <w:pageBreakBefore w:val="0"/>
              <w:widowControl/>
              <w:suppressLineNumbers w:val="0"/>
              <w:kinsoku/>
              <w:wordWrap/>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t>加大政府采购宣传力度，做好监督检查工作，杜绝一切不正当、有违公平的手段和行为，提升政府采购效率、降</w:t>
            </w:r>
            <w:bookmarkStart w:id="0" w:name="_GoBack"/>
            <w:bookmarkEnd w:id="0"/>
            <w:r>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t>低交易成本、遏制腐败行为，营造统一开放、竞争有序的政府采购环境。</w:t>
            </w: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p>
        </w:tc>
        <w:tc>
          <w:tcPr>
            <w:tcW w:w="1647" w:type="dxa"/>
          </w:tcPr>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t>黄石市财政局（采购办）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622" w:type="dxa"/>
          </w:tcPr>
          <w:p>
            <w:pPr>
              <w:pStyle w:val="4"/>
              <w:keepNext w:val="0"/>
              <w:keepLines w:val="0"/>
              <w:pageBreakBefore w:val="0"/>
              <w:widowControl w:val="0"/>
              <w:kinsoku/>
              <w:wordWrap/>
              <w:overflowPunct w:val="0"/>
              <w:topLinePunct/>
              <w:autoSpaceDE/>
              <w:autoSpaceDN/>
              <w:bidi w:val="0"/>
              <w:adjustRightInd w:val="0"/>
              <w:snapToGrid w:val="0"/>
              <w:spacing w:line="320" w:lineRule="exact"/>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ind w:firstLine="200" w:firstLineChars="100"/>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
                <w14:textFill>
                  <w14:solidFill>
                    <w14:schemeClr w14:val="tx1"/>
                  </w14:solidFill>
                </w14:textFill>
              </w:rPr>
              <w:t>2</w:t>
            </w:r>
          </w:p>
        </w:tc>
        <w:tc>
          <w:tcPr>
            <w:tcW w:w="1440" w:type="dxa"/>
          </w:tcPr>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eastAsia="zh-CN"/>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eastAsia="zh-CN"/>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eastAsia="zh-CN"/>
                <w14:textFill>
                  <w14:solidFill>
                    <w14:schemeClr w14:val="tx1"/>
                  </w14:solidFill>
                </w14:textFill>
              </w:rPr>
              <w:t>按规定对政府采购事项进行投诉</w:t>
            </w:r>
          </w:p>
        </w:tc>
        <w:tc>
          <w:tcPr>
            <w:tcW w:w="3030" w:type="dxa"/>
          </w:tcPr>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eastAsia="zh-CN"/>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eastAsia="zh-CN"/>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eastAsia="zh-CN"/>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eastAsia="zh-CN"/>
                <w14:textFill>
                  <w14:solidFill>
                    <w14:schemeClr w14:val="tx1"/>
                  </w14:solidFill>
                </w14:textFill>
              </w:rPr>
              <w:t>未按规定对政府采购事项进行虚假、恶意投诉</w:t>
            </w:r>
          </w:p>
        </w:tc>
        <w:tc>
          <w:tcPr>
            <w:tcW w:w="4230" w:type="dxa"/>
          </w:tcPr>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t>《政府采购质疑和投诉办法》第三十七条第二款  由财政部门列入不良行为记录名单，禁止其1至3年内参加政府采购活动</w:t>
            </w:r>
            <w:r>
              <w:rPr>
                <w:rFonts w:hint="eastAsia" w:ascii="国标宋体" w:hAnsi="国标宋体" w:eastAsia="国标宋体" w:cs="国标宋体"/>
                <w:snapToGrid w:val="0"/>
                <w:color w:val="000000" w:themeColor="text1"/>
                <w:kern w:val="0"/>
                <w:sz w:val="20"/>
                <w:szCs w:val="20"/>
                <w:vertAlign w:val="baseline"/>
                <w14:textFill>
                  <w14:solidFill>
                    <w14:schemeClr w14:val="tx1"/>
                  </w14:solidFill>
                </w14:textFill>
              </w:rPr>
              <w:t>。</w:t>
            </w:r>
          </w:p>
        </w:tc>
        <w:tc>
          <w:tcPr>
            <w:tcW w:w="975" w:type="dxa"/>
          </w:tcPr>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ascii="Segoe UI Symbol" w:hAnsi="Segoe UI Symbol" w:cs="Segoe UI Symbol"/>
                <w:sz w:val="18"/>
                <w:szCs w:val="18"/>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ascii="Segoe UI Symbol" w:hAnsi="Segoe UI Symbol" w:cs="Segoe UI Symbol"/>
                <w:sz w:val="18"/>
                <w:szCs w:val="18"/>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r>
              <w:rPr>
                <w:rFonts w:ascii="Segoe UI Symbol" w:hAnsi="Segoe UI Symbol" w:cs="Segoe UI Symbol"/>
                <w:sz w:val="18"/>
                <w:szCs w:val="18"/>
              </w:rPr>
              <w:t>★★</w:t>
            </w:r>
          </w:p>
        </w:tc>
        <w:tc>
          <w:tcPr>
            <w:tcW w:w="2230" w:type="dxa"/>
          </w:tcPr>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t>1、合法取得证明材料；2、依据事实投诉；3、提供材料真实</w:t>
            </w:r>
          </w:p>
        </w:tc>
        <w:tc>
          <w:tcPr>
            <w:tcW w:w="1647" w:type="dxa"/>
          </w:tcPr>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320" w:lineRule="exact"/>
              <w:jc w:val="left"/>
              <w:textAlignment w:val="baseline"/>
              <w:rPr>
                <w:rFonts w:hint="eastAsia" w:ascii="国标宋体" w:hAnsi="国标宋体" w:eastAsia="国标宋体" w:cs="国标宋体"/>
                <w:snapToGrid w:val="0"/>
                <w:color w:val="000000" w:themeColor="text1"/>
                <w:kern w:val="0"/>
                <w:sz w:val="20"/>
                <w:szCs w:val="20"/>
                <w:vertAlign w:val="baseline"/>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t>黄石市财政局（采购办）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top"/>
          </w:tcPr>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t xml:space="preserve"> </w:t>
            </w: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default"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t xml:space="preserve"> 3</w:t>
            </w:r>
          </w:p>
        </w:tc>
        <w:tc>
          <w:tcPr>
            <w:tcW w:w="1440" w:type="dxa"/>
            <w:vAlign w:val="top"/>
          </w:tcPr>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r>
              <w:rPr>
                <w:rFonts w:hint="eastAsia" w:ascii="国标宋体" w:hAnsi="国标宋体" w:eastAsia="国标宋体" w:cs="国标宋体"/>
                <w:i w:val="0"/>
                <w:iCs w:val="0"/>
                <w:caps w:val="0"/>
                <w:snapToGrid w:val="0"/>
                <w:color w:val="000000"/>
                <w:spacing w:val="0"/>
                <w:kern w:val="0"/>
                <w:sz w:val="20"/>
                <w:szCs w:val="20"/>
                <w:lang w:val="en-US" w:eastAsia="zh-CN" w:bidi="ar"/>
              </w:rPr>
              <w:t>资产评估机构应当建立健全质量控制制度和内部管理制度</w:t>
            </w:r>
          </w:p>
        </w:tc>
        <w:tc>
          <w:tcPr>
            <w:tcW w:w="3030" w:type="dxa"/>
            <w:vAlign w:val="top"/>
          </w:tcPr>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pStyle w:val="2"/>
              <w:widowControl w:val="0"/>
              <w:ind w:left="0" w:leftChars="0" w:firstLine="0" w:firstLineChars="0"/>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r>
              <w:rPr>
                <w:rFonts w:hint="eastAsia" w:ascii="国标宋体" w:hAnsi="国标宋体" w:eastAsia="国标宋体" w:cs="国标宋体"/>
                <w:i w:val="0"/>
                <w:iCs w:val="0"/>
                <w:caps w:val="0"/>
                <w:snapToGrid w:val="0"/>
                <w:color w:val="000000"/>
                <w:spacing w:val="0"/>
                <w:kern w:val="0"/>
                <w:sz w:val="20"/>
                <w:szCs w:val="20"/>
                <w:lang w:val="en-US" w:eastAsia="zh-CN" w:bidi="ar"/>
              </w:rPr>
              <w:t>资产评估机构未建立质量控制制度</w:t>
            </w: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r>
              <w:rPr>
                <w:rFonts w:hint="eastAsia" w:ascii="国标宋体" w:hAnsi="国标宋体" w:eastAsia="国标宋体" w:cs="国标宋体"/>
                <w:i w:val="0"/>
                <w:iCs w:val="0"/>
                <w:caps w:val="0"/>
                <w:snapToGrid w:val="0"/>
                <w:color w:val="000000"/>
                <w:spacing w:val="0"/>
                <w:kern w:val="0"/>
                <w:sz w:val="20"/>
                <w:szCs w:val="20"/>
                <w:lang w:val="en-US" w:eastAsia="zh-CN" w:bidi="ar"/>
              </w:rPr>
              <w:t>和内部管理制度，或质量控制制度和内部管理制度不健全</w:t>
            </w:r>
          </w:p>
        </w:tc>
        <w:tc>
          <w:tcPr>
            <w:tcW w:w="4230" w:type="dxa"/>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bidi w:val="0"/>
              <w:adjustRightInd w:val="0"/>
              <w:snapToGrid w:val="0"/>
              <w:spacing w:before="0" w:beforeAutospacing="0" w:after="0" w:afterAutospacing="0" w:line="240" w:lineRule="auto"/>
              <w:ind w:right="0"/>
              <w:jc w:val="both"/>
              <w:textAlignment w:val="baseline"/>
              <w:rPr>
                <w:rFonts w:hint="eastAsia" w:ascii="国标宋体" w:hAnsi="国标宋体" w:eastAsia="国标宋体" w:cs="国标宋体"/>
                <w:b/>
                <w:bCs/>
                <w:i w:val="0"/>
                <w:iCs w:val="0"/>
                <w:caps w:val="0"/>
                <w:color w:val="000000"/>
                <w:spacing w:val="0"/>
                <w:sz w:val="20"/>
                <w:szCs w:val="20"/>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bidi w:val="0"/>
              <w:adjustRightInd w:val="0"/>
              <w:snapToGrid w:val="0"/>
              <w:spacing w:before="0" w:beforeAutospacing="0" w:after="0" w:afterAutospacing="0" w:line="240" w:lineRule="auto"/>
              <w:ind w:right="0"/>
              <w:jc w:val="both"/>
              <w:textAlignment w:val="baseline"/>
              <w:rPr>
                <w:rFonts w:hint="eastAsia" w:ascii="国标宋体" w:hAnsi="国标宋体" w:eastAsia="国标宋体" w:cs="国标宋体"/>
                <w:b/>
                <w:bCs/>
                <w:i w:val="0"/>
                <w:iCs w:val="0"/>
                <w:caps w:val="0"/>
                <w:color w:val="000000"/>
                <w:spacing w:val="0"/>
                <w:sz w:val="20"/>
                <w:szCs w:val="20"/>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bidi w:val="0"/>
              <w:adjustRightInd w:val="0"/>
              <w:snapToGrid w:val="0"/>
              <w:spacing w:before="0" w:beforeAutospacing="0" w:after="0" w:afterAutospacing="0" w:line="240" w:lineRule="auto"/>
              <w:ind w:right="0"/>
              <w:jc w:val="both"/>
              <w:textAlignment w:val="baseline"/>
              <w:rPr>
                <w:rFonts w:hint="eastAsia" w:ascii="国标宋体" w:hAnsi="国标宋体" w:eastAsia="国标宋体" w:cs="国标宋体"/>
                <w:i w:val="0"/>
                <w:iCs w:val="0"/>
                <w:caps w:val="0"/>
                <w:color w:val="000000"/>
                <w:spacing w:val="0"/>
                <w:sz w:val="20"/>
                <w:szCs w:val="20"/>
              </w:rPr>
            </w:pPr>
            <w:r>
              <w:rPr>
                <w:rFonts w:hint="eastAsia" w:ascii="国标宋体" w:hAnsi="国标宋体" w:eastAsia="国标宋体" w:cs="国标宋体"/>
                <w:i w:val="0"/>
                <w:iCs w:val="0"/>
                <w:caps w:val="0"/>
                <w:color w:val="000000"/>
                <w:spacing w:val="0"/>
                <w:sz w:val="20"/>
                <w:szCs w:val="20"/>
              </w:rPr>
              <w:t>《资产评估行业财政监督管理办法》第十七条　资产评估机构应当建立健全质量控制制度和内部管理制度。其中，内部管理制度包括资产评估业务管理制度、业务档案管理制度、人事管理制度、继续教育制度、财务管理制度等。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bidi w:val="0"/>
              <w:adjustRightInd w:val="0"/>
              <w:snapToGrid w:val="0"/>
              <w:spacing w:before="0" w:beforeAutospacing="0" w:after="0" w:afterAutospacing="0" w:line="240" w:lineRule="auto"/>
              <w:ind w:right="0"/>
              <w:jc w:val="both"/>
              <w:textAlignment w:val="baseline"/>
              <w:rPr>
                <w:rFonts w:hint="eastAsia" w:ascii="国标宋体" w:hAnsi="国标宋体" w:eastAsia="国标宋体" w:cs="国标宋体"/>
                <w:i w:val="0"/>
                <w:iCs w:val="0"/>
                <w:caps w:val="0"/>
                <w:color w:val="000000"/>
                <w:spacing w:val="0"/>
                <w:sz w:val="20"/>
                <w:szCs w:val="20"/>
              </w:rPr>
            </w:pPr>
            <w:r>
              <w:rPr>
                <w:rFonts w:hint="eastAsia" w:ascii="国标宋体" w:hAnsi="国标宋体" w:eastAsia="国标宋体" w:cs="国标宋体"/>
                <w:i w:val="0"/>
                <w:iCs w:val="0"/>
                <w:caps w:val="0"/>
                <w:color w:val="000000"/>
                <w:spacing w:val="0"/>
                <w:sz w:val="20"/>
                <w:szCs w:val="20"/>
              </w:rPr>
              <w:t>《资产评估行业财政监督管理办法》第六十三条　资产评估机构违反本办法十七条、第十八条、第十九条、第二十条第一款、第二十八条、第三十一条第一款和第二款规定的，由资产评估机构所在地省级财政部门责令改正，并予以警告。</w:t>
            </w: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tc>
        <w:tc>
          <w:tcPr>
            <w:tcW w:w="975" w:type="dxa"/>
            <w:vAlign w:val="top"/>
          </w:tcPr>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sz w:val="20"/>
                <w:szCs w:val="20"/>
              </w:rPr>
            </w:pPr>
            <w:r>
              <w:rPr>
                <w:rFonts w:hint="eastAsia" w:ascii="国标宋体" w:hAnsi="国标宋体" w:eastAsia="国标宋体" w:cs="国标宋体"/>
                <w:i w:val="0"/>
                <w:iCs w:val="0"/>
                <w:caps w:val="0"/>
                <w:snapToGrid w:val="0"/>
                <w:color w:val="000000"/>
                <w:spacing w:val="0"/>
                <w:kern w:val="0"/>
                <w:sz w:val="20"/>
                <w:szCs w:val="20"/>
                <w:lang w:val="en-US" w:eastAsia="zh-CN" w:bidi="ar"/>
              </w:rPr>
              <w:t>★★</w:t>
            </w: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en-US" w:bidi="ar-SA"/>
                <w14:textFill>
                  <w14:solidFill>
                    <w14:schemeClr w14:val="tx1"/>
                  </w14:solidFill>
                </w14:textFill>
              </w:rPr>
            </w:pPr>
          </w:p>
        </w:tc>
        <w:tc>
          <w:tcPr>
            <w:tcW w:w="2230" w:type="dxa"/>
            <w:vAlign w:val="top"/>
          </w:tcPr>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pageBreakBefore w:val="0"/>
              <w:widowControl/>
              <w:suppressLineNumbers w:val="0"/>
              <w:wordWrap/>
              <w:bidi w:val="0"/>
              <w:adjustRightInd w:val="0"/>
              <w:snapToGrid w:val="0"/>
              <w:spacing w:line="240" w:lineRule="auto"/>
              <w:jc w:val="left"/>
              <w:textAlignment w:val="baseline"/>
              <w:rPr>
                <w:rFonts w:hint="eastAsia" w:ascii="国标宋体" w:hAnsi="国标宋体" w:eastAsia="国标宋体" w:cs="国标宋体"/>
                <w:sz w:val="20"/>
                <w:szCs w:val="20"/>
              </w:rPr>
            </w:pPr>
            <w:r>
              <w:rPr>
                <w:rFonts w:hint="eastAsia" w:ascii="国标宋体" w:hAnsi="国标宋体" w:eastAsia="国标宋体" w:cs="国标宋体"/>
                <w:i w:val="0"/>
                <w:iCs w:val="0"/>
                <w:caps w:val="0"/>
                <w:snapToGrid w:val="0"/>
                <w:color w:val="000000"/>
                <w:spacing w:val="0"/>
                <w:kern w:val="0"/>
                <w:sz w:val="20"/>
                <w:szCs w:val="20"/>
                <w:lang w:val="en-US" w:eastAsia="zh-CN" w:bidi="ar"/>
              </w:rPr>
              <w:t>严格执行质量控制等内部管理制度，提高执业质量。</w:t>
            </w: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tc>
        <w:tc>
          <w:tcPr>
            <w:tcW w:w="1647" w:type="dxa"/>
            <w:vAlign w:val="top"/>
          </w:tcPr>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p>
          <w:p>
            <w:pPr>
              <w:pStyle w:val="5"/>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5"/>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5"/>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5"/>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5"/>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5"/>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t>黄石市财政局</w:t>
            </w:r>
          </w:p>
          <w:p>
            <w:pPr>
              <w:pStyle w:val="5"/>
              <w:rPr>
                <w:rFonts w:hint="eastAsia" w:ascii="国标宋体" w:hAnsi="国标宋体" w:eastAsia="国标宋体" w:cs="国标宋体"/>
                <w:color w:val="800000"/>
                <w:kern w:val="0"/>
                <w:sz w:val="20"/>
                <w:szCs w:val="20"/>
                <w:lang w:val="en-US" w:eastAsia="zh-CN" w:bidi="ar-SA"/>
              </w:rPr>
            </w:pPr>
            <w:r>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t>（资产科）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top"/>
          </w:tcPr>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240" w:lineRule="auto"/>
              <w:ind w:firstLine="200" w:firstLineChars="100"/>
              <w:jc w:val="both"/>
              <w:textAlignment w:val="baseline"/>
              <w:rPr>
                <w:rFonts w:hint="default"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t>4</w:t>
            </w:r>
          </w:p>
        </w:tc>
        <w:tc>
          <w:tcPr>
            <w:tcW w:w="1440" w:type="dxa"/>
            <w:vAlign w:val="top"/>
          </w:tcPr>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sz w:val="20"/>
                <w:szCs w:val="20"/>
              </w:rPr>
            </w:pPr>
            <w:r>
              <w:rPr>
                <w:rFonts w:hint="eastAsia" w:ascii="国标宋体" w:hAnsi="国标宋体" w:eastAsia="国标宋体" w:cs="国标宋体"/>
                <w:i w:val="0"/>
                <w:iCs w:val="0"/>
                <w:caps w:val="0"/>
                <w:snapToGrid w:val="0"/>
                <w:color w:val="000000"/>
                <w:spacing w:val="0"/>
                <w:kern w:val="0"/>
                <w:sz w:val="20"/>
                <w:szCs w:val="20"/>
                <w:lang w:val="en-US" w:eastAsia="zh-CN" w:bidi="ar"/>
              </w:rPr>
              <w:t>评估机构不得聘用或者指定不符合本法规定的人员从事评估业务</w:t>
            </w: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en-US" w:bidi="ar-SA"/>
                <w14:textFill>
                  <w14:solidFill>
                    <w14:schemeClr w14:val="tx1"/>
                  </w14:solidFill>
                </w14:textFill>
              </w:rPr>
            </w:pPr>
          </w:p>
        </w:tc>
        <w:tc>
          <w:tcPr>
            <w:tcW w:w="3030" w:type="dxa"/>
            <w:vAlign w:val="top"/>
          </w:tcPr>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sz w:val="20"/>
                <w:szCs w:val="20"/>
              </w:rPr>
            </w:pPr>
            <w:r>
              <w:rPr>
                <w:rFonts w:hint="eastAsia" w:ascii="国标宋体" w:hAnsi="国标宋体" w:eastAsia="国标宋体" w:cs="国标宋体"/>
                <w:i w:val="0"/>
                <w:iCs w:val="0"/>
                <w:caps w:val="0"/>
                <w:snapToGrid w:val="0"/>
                <w:color w:val="000000"/>
                <w:spacing w:val="0"/>
                <w:kern w:val="0"/>
                <w:sz w:val="20"/>
                <w:szCs w:val="20"/>
                <w:lang w:val="en-US" w:eastAsia="zh-CN" w:bidi="ar"/>
              </w:rPr>
              <w:t>评估机构聘用或者指定不符合本法规定的人员从事评估业务</w:t>
            </w: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en-US" w:bidi="ar-SA"/>
                <w14:textFill>
                  <w14:solidFill>
                    <w14:schemeClr w14:val="tx1"/>
                  </w14:solidFill>
                </w14:textFill>
              </w:rPr>
            </w:pPr>
          </w:p>
        </w:tc>
        <w:tc>
          <w:tcPr>
            <w:tcW w:w="4230" w:type="dxa"/>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bidi w:val="0"/>
              <w:adjustRightInd w:val="0"/>
              <w:snapToGrid w:val="0"/>
              <w:spacing w:before="0" w:beforeAutospacing="0" w:after="0" w:afterAutospacing="0" w:line="240" w:lineRule="auto"/>
              <w:ind w:right="0"/>
              <w:jc w:val="both"/>
              <w:textAlignment w:val="baseline"/>
              <w:rPr>
                <w:rFonts w:hint="eastAsia" w:ascii="国标宋体" w:hAnsi="国标宋体" w:eastAsia="国标宋体" w:cs="国标宋体"/>
                <w:i w:val="0"/>
                <w:iCs w:val="0"/>
                <w:caps w:val="0"/>
                <w:color w:val="000000"/>
                <w:spacing w:val="0"/>
                <w:sz w:val="20"/>
                <w:szCs w:val="20"/>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bidi w:val="0"/>
              <w:adjustRightInd w:val="0"/>
              <w:snapToGrid w:val="0"/>
              <w:spacing w:before="0" w:beforeAutospacing="0" w:after="0" w:afterAutospacing="0" w:line="240" w:lineRule="auto"/>
              <w:ind w:right="0"/>
              <w:jc w:val="both"/>
              <w:textAlignment w:val="baseline"/>
              <w:rPr>
                <w:rFonts w:hint="eastAsia" w:ascii="国标宋体" w:hAnsi="国标宋体" w:eastAsia="国标宋体" w:cs="国标宋体"/>
                <w:i w:val="0"/>
                <w:iCs w:val="0"/>
                <w:caps w:val="0"/>
                <w:color w:val="000000"/>
                <w:spacing w:val="0"/>
                <w:sz w:val="20"/>
                <w:szCs w:val="20"/>
              </w:rPr>
            </w:pPr>
            <w:r>
              <w:rPr>
                <w:rFonts w:hint="eastAsia" w:ascii="国标宋体" w:hAnsi="国标宋体" w:eastAsia="国标宋体" w:cs="国标宋体"/>
                <w:i w:val="0"/>
                <w:iCs w:val="0"/>
                <w:caps w:val="0"/>
                <w:color w:val="000000"/>
                <w:spacing w:val="0"/>
                <w:sz w:val="20"/>
                <w:szCs w:val="20"/>
              </w:rPr>
              <w:t>《中华人民共和国资产评估法》第二十条　评估机构不得有下列行为：（七）聘用或者指定不符合本法规定的人员从事评估业务；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r>
              <w:rPr>
                <w:rFonts w:hint="eastAsia" w:ascii="国标宋体" w:hAnsi="国标宋体" w:eastAsia="国标宋体" w:cs="国标宋体"/>
                <w:i w:val="0"/>
                <w:iCs w:val="0"/>
                <w:caps w:val="0"/>
                <w:color w:val="000000"/>
                <w:spacing w:val="0"/>
                <w:sz w:val="20"/>
                <w:szCs w:val="20"/>
              </w:rPr>
              <w:t>第二十七条　评估报告应当由至少两名承办该项业务的评估专业人员签名并加盖评估机构印章。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wordWrap/>
              <w:bidi w:val="0"/>
              <w:adjustRightInd w:val="0"/>
              <w:snapToGrid w:val="0"/>
              <w:spacing w:before="0" w:beforeAutospacing="0" w:after="0" w:afterAutospacing="0" w:line="240" w:lineRule="auto"/>
              <w:ind w:right="0"/>
              <w:jc w:val="both"/>
              <w:textAlignment w:val="baseline"/>
              <w:rPr>
                <w:rFonts w:hint="eastAsia" w:ascii="国标宋体" w:hAnsi="国标宋体" w:eastAsia="国标宋体" w:cs="国标宋体"/>
                <w:i w:val="0"/>
                <w:iCs w:val="0"/>
                <w:caps w:val="0"/>
                <w:color w:val="000000"/>
                <w:spacing w:val="0"/>
                <w:sz w:val="20"/>
                <w:szCs w:val="20"/>
              </w:rPr>
            </w:pPr>
            <w:r>
              <w:rPr>
                <w:rFonts w:hint="eastAsia" w:ascii="国标宋体" w:hAnsi="国标宋体" w:eastAsia="国标宋体" w:cs="国标宋体"/>
                <w:i w:val="0"/>
                <w:iCs w:val="0"/>
                <w:caps w:val="0"/>
                <w:color w:val="000000"/>
                <w:spacing w:val="0"/>
                <w:sz w:val="20"/>
                <w:szCs w:val="20"/>
              </w:rPr>
              <w:t>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eastAsia" w:ascii="国标宋体" w:hAnsi="国标宋体" w:eastAsia="国标宋体" w:cs="国标宋体"/>
                <w:i w:val="0"/>
                <w:iCs w:val="0"/>
                <w:caps w:val="0"/>
                <w:color w:val="000000"/>
                <w:spacing w:val="0"/>
                <w:sz w:val="20"/>
                <w:szCs w:val="20"/>
                <w:lang w:eastAsia="zh-CN"/>
              </w:rPr>
            </w:pPr>
            <w:r>
              <w:rPr>
                <w:rFonts w:hint="eastAsia" w:ascii="国标宋体" w:hAnsi="国标宋体" w:eastAsia="国标宋体" w:cs="国标宋体"/>
                <w:i w:val="0"/>
                <w:iCs w:val="0"/>
                <w:caps w:val="0"/>
                <w:color w:val="000000"/>
                <w:spacing w:val="0"/>
                <w:sz w:val="20"/>
                <w:szCs w:val="20"/>
              </w:rPr>
              <w:t>（八）聘用或者指定不符合本法规定的人员从事评估业务的</w:t>
            </w:r>
            <w:r>
              <w:rPr>
                <w:rFonts w:hint="eastAsia" w:ascii="国标宋体" w:hAnsi="国标宋体" w:eastAsia="国标宋体" w:cs="国标宋体"/>
                <w:i w:val="0"/>
                <w:iCs w:val="0"/>
                <w:caps w:val="0"/>
                <w:color w:val="000000"/>
                <w:spacing w:val="0"/>
                <w:sz w:val="20"/>
                <w:szCs w:val="20"/>
                <w:lang w:eastAsia="zh-CN"/>
              </w:rPr>
              <w:t>。</w:t>
            </w: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en-US" w:bidi="ar-SA"/>
                <w14:textFill>
                  <w14:solidFill>
                    <w14:schemeClr w14:val="tx1"/>
                  </w14:solidFill>
                </w14:textFill>
              </w:rPr>
            </w:pPr>
          </w:p>
        </w:tc>
        <w:tc>
          <w:tcPr>
            <w:tcW w:w="975" w:type="dxa"/>
            <w:vAlign w:val="top"/>
          </w:tcPr>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sz w:val="20"/>
                <w:szCs w:val="20"/>
              </w:rPr>
            </w:pPr>
            <w:r>
              <w:rPr>
                <w:rFonts w:hint="eastAsia" w:ascii="国标宋体" w:hAnsi="国标宋体" w:eastAsia="国标宋体" w:cs="国标宋体"/>
                <w:i w:val="0"/>
                <w:iCs w:val="0"/>
                <w:caps w:val="0"/>
                <w:snapToGrid w:val="0"/>
                <w:color w:val="000000"/>
                <w:spacing w:val="0"/>
                <w:kern w:val="0"/>
                <w:sz w:val="20"/>
                <w:szCs w:val="20"/>
                <w:lang w:val="en-US" w:eastAsia="zh-CN" w:bidi="ar"/>
              </w:rPr>
              <w:t>★★</w:t>
            </w: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en-US" w:bidi="ar-SA"/>
                <w14:textFill>
                  <w14:solidFill>
                    <w14:schemeClr w14:val="tx1"/>
                  </w14:solidFill>
                </w14:textFill>
              </w:rPr>
            </w:pPr>
          </w:p>
        </w:tc>
        <w:tc>
          <w:tcPr>
            <w:tcW w:w="2230" w:type="dxa"/>
            <w:vAlign w:val="top"/>
          </w:tcPr>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i w:val="0"/>
                <w:iCs w:val="0"/>
                <w:caps w:val="0"/>
                <w:snapToGrid w:val="0"/>
                <w:color w:val="000000"/>
                <w:spacing w:val="0"/>
                <w:kern w:val="0"/>
                <w:sz w:val="20"/>
                <w:szCs w:val="20"/>
                <w:lang w:val="en-US" w:eastAsia="zh-CN" w:bidi="ar"/>
              </w:rPr>
            </w:pPr>
          </w:p>
          <w:p>
            <w:pPr>
              <w:keepNext w:val="0"/>
              <w:keepLines w:val="0"/>
              <w:widowControl/>
              <w:suppressLineNumbers w:val="0"/>
              <w:spacing w:line="240" w:lineRule="auto"/>
              <w:jc w:val="left"/>
              <w:rPr>
                <w:rFonts w:hint="eastAsia" w:ascii="国标宋体" w:hAnsi="国标宋体" w:eastAsia="国标宋体" w:cs="国标宋体"/>
                <w:sz w:val="20"/>
                <w:szCs w:val="20"/>
              </w:rPr>
            </w:pPr>
            <w:r>
              <w:rPr>
                <w:rFonts w:hint="eastAsia" w:ascii="国标宋体" w:hAnsi="国标宋体" w:eastAsia="国标宋体" w:cs="国标宋体"/>
                <w:i w:val="0"/>
                <w:iCs w:val="0"/>
                <w:caps w:val="0"/>
                <w:snapToGrid w:val="0"/>
                <w:color w:val="000000"/>
                <w:spacing w:val="0"/>
                <w:kern w:val="0"/>
                <w:sz w:val="20"/>
                <w:szCs w:val="20"/>
                <w:lang w:val="en-US" w:eastAsia="zh-CN" w:bidi="ar"/>
              </w:rPr>
              <w:t>对于不符合《中华人民共和国资产评估法》规定的人员，评估机构不应聘用，更加不能指定不符合规定的人员从事评估业务。</w:t>
            </w: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en-US" w:bidi="ar-SA"/>
                <w14:textFill>
                  <w14:solidFill>
                    <w14:schemeClr w14:val="tx1"/>
                  </w14:solidFill>
                </w14:textFill>
              </w:rPr>
            </w:pPr>
          </w:p>
        </w:tc>
        <w:tc>
          <w:tcPr>
            <w:tcW w:w="0" w:type="auto"/>
            <w:vAlign w:val="top"/>
          </w:tcPr>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p>
          <w:p>
            <w:pPr>
              <w:pStyle w:val="5"/>
              <w:rPr>
                <w:rFonts w:hint="eastAsia" w:ascii="国标宋体" w:hAnsi="国标宋体" w:eastAsia="国标宋体" w:cs="国标宋体"/>
                <w:snapToGrid w:val="0"/>
                <w:color w:val="000000" w:themeColor="text1"/>
                <w:kern w:val="0"/>
                <w:sz w:val="20"/>
                <w:szCs w:val="20"/>
                <w:vertAlign w:val="baseline"/>
                <w:lang w:val="en-US" w:eastAsia="zh-CN"/>
                <w14:textFill>
                  <w14:solidFill>
                    <w14:schemeClr w14:val="tx1"/>
                  </w14:solidFill>
                </w14:textFill>
              </w:rPr>
            </w:pPr>
          </w:p>
          <w:p>
            <w:pPr>
              <w:pStyle w:val="6"/>
              <w:widowControl w:val="0"/>
              <w:rPr>
                <w:rFonts w:hint="eastAsia"/>
                <w:lang w:val="en-US" w:eastAsia="zh-CN"/>
              </w:rPr>
            </w:pP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t>黄石市财政局</w:t>
            </w:r>
          </w:p>
          <w:p>
            <w:pPr>
              <w:pStyle w:val="4"/>
              <w:keepNext w:val="0"/>
              <w:keepLines w:val="0"/>
              <w:pageBreakBefore w:val="0"/>
              <w:widowControl w:val="0"/>
              <w:kinsoku/>
              <w:wordWrap/>
              <w:overflowPunct w:val="0"/>
              <w:topLinePunct/>
              <w:autoSpaceDE/>
              <w:autoSpaceDN/>
              <w:bidi w:val="0"/>
              <w:adjustRightInd w:val="0"/>
              <w:snapToGrid w:val="0"/>
              <w:spacing w:line="240" w:lineRule="auto"/>
              <w:jc w:val="both"/>
              <w:textAlignment w:val="baseline"/>
              <w:rPr>
                <w:rFonts w:hint="eastAsia" w:ascii="国标宋体" w:hAnsi="国标宋体" w:eastAsia="国标宋体" w:cs="国标宋体"/>
                <w:snapToGrid w:val="0"/>
                <w:color w:val="000000" w:themeColor="text1"/>
                <w:kern w:val="0"/>
                <w:sz w:val="20"/>
                <w:szCs w:val="20"/>
                <w:vertAlign w:val="baseline"/>
                <w:lang w:val="en-US" w:eastAsia="en-US" w:bidi="ar-SA"/>
                <w14:textFill>
                  <w14:solidFill>
                    <w14:schemeClr w14:val="tx1"/>
                  </w14:solidFill>
                </w14:textFill>
              </w:rPr>
            </w:pPr>
            <w:r>
              <w:rPr>
                <w:rFonts w:hint="eastAsia" w:ascii="国标宋体" w:hAnsi="国标宋体" w:eastAsia="国标宋体" w:cs="国标宋体"/>
                <w:snapToGrid w:val="0"/>
                <w:color w:val="000000" w:themeColor="text1"/>
                <w:kern w:val="0"/>
                <w:sz w:val="20"/>
                <w:szCs w:val="20"/>
                <w:vertAlign w:val="baseline"/>
                <w:lang w:val="en-US" w:eastAsia="zh-CN" w:bidi="ar-SA"/>
                <w14:textFill>
                  <w14:solidFill>
                    <w14:schemeClr w14:val="tx1"/>
                  </w14:solidFill>
                </w14:textFill>
              </w:rPr>
              <w:t>（资产科）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00" w:firstLineChars="100"/>
              <w:jc w:val="both"/>
              <w:rPr>
                <w:rFonts w:hint="eastAsia" w:ascii="国标宋体" w:hAnsi="国标宋体" w:eastAsia="国标宋体" w:cs="国标宋体"/>
                <w:i w:val="0"/>
                <w:iCs w:val="0"/>
                <w:caps w:val="0"/>
                <w:color w:val="000000"/>
                <w:spacing w:val="0"/>
                <w:sz w:val="20"/>
                <w:szCs w:val="20"/>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00" w:firstLineChars="100"/>
              <w:jc w:val="both"/>
              <w:rPr>
                <w:rFonts w:hint="default" w:ascii="国标宋体" w:hAnsi="国标宋体" w:eastAsia="国标宋体" w:cs="国标宋体"/>
                <w:i w:val="0"/>
                <w:iCs w:val="0"/>
                <w:caps w:val="0"/>
                <w:color w:val="000000"/>
                <w:spacing w:val="0"/>
                <w:sz w:val="20"/>
                <w:szCs w:val="20"/>
                <w:lang w:val="en-US" w:eastAsia="zh-CN"/>
              </w:rPr>
            </w:pPr>
            <w:r>
              <w:rPr>
                <w:rFonts w:hint="eastAsia" w:ascii="国标宋体" w:hAnsi="国标宋体" w:eastAsia="国标宋体" w:cs="国标宋体"/>
                <w:i w:val="0"/>
                <w:iCs w:val="0"/>
                <w:caps w:val="0"/>
                <w:color w:val="000000"/>
                <w:spacing w:val="0"/>
                <w:sz w:val="20"/>
                <w:szCs w:val="20"/>
                <w:lang w:val="en-US" w:eastAsia="zh-CN"/>
              </w:rPr>
              <w:t>5</w:t>
            </w:r>
          </w:p>
        </w:tc>
        <w:tc>
          <w:tcPr>
            <w:tcW w:w="1440" w:type="dxa"/>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eastAsia="zh-CN"/>
              </w:rPr>
            </w:pPr>
            <w:r>
              <w:rPr>
                <w:rFonts w:hint="eastAsia" w:ascii="国标宋体" w:hAnsi="国标宋体" w:eastAsia="国标宋体" w:cs="国标宋体"/>
                <w:i w:val="0"/>
                <w:iCs w:val="0"/>
                <w:caps w:val="0"/>
                <w:color w:val="000000"/>
                <w:spacing w:val="0"/>
                <w:sz w:val="20"/>
                <w:szCs w:val="20"/>
              </w:rPr>
              <w:t>除会计师事务所以外的机构从事代理记账业务，应当领取由财政部统一规定样式的代理记账许可证</w:t>
            </w:r>
            <w:r>
              <w:rPr>
                <w:rFonts w:hint="eastAsia" w:ascii="国标宋体" w:hAnsi="国标宋体" w:eastAsia="国标宋体" w:cs="国标宋体"/>
                <w:i w:val="0"/>
                <w:iCs w:val="0"/>
                <w:caps w:val="0"/>
                <w:color w:val="000000"/>
                <w:spacing w:val="0"/>
                <w:sz w:val="20"/>
                <w:szCs w:val="20"/>
                <w:lang w:eastAsia="zh-CN"/>
              </w:rPr>
              <w:t>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val="en-US" w:eastAsia="en-US"/>
              </w:rPr>
            </w:pPr>
          </w:p>
        </w:tc>
        <w:tc>
          <w:tcPr>
            <w:tcW w:w="3030" w:type="dxa"/>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r>
              <w:rPr>
                <w:rFonts w:hint="eastAsia" w:ascii="国标宋体" w:hAnsi="国标宋体" w:eastAsia="国标宋体" w:cs="国标宋体"/>
                <w:i w:val="0"/>
                <w:iCs w:val="0"/>
                <w:caps w:val="0"/>
                <w:color w:val="000000"/>
                <w:spacing w:val="0"/>
                <w:sz w:val="20"/>
                <w:szCs w:val="20"/>
              </w:rPr>
              <w:t>代理记账机构仅领取营业执照，未申请领取代理记账许可证</w:t>
            </w:r>
            <w:r>
              <w:rPr>
                <w:rFonts w:hint="eastAsia" w:ascii="国标宋体" w:hAnsi="国标宋体" w:eastAsia="国标宋体" w:cs="国标宋体"/>
                <w:i w:val="0"/>
                <w:iCs w:val="0"/>
                <w:caps w:val="0"/>
                <w:color w:val="000000"/>
                <w:spacing w:val="0"/>
                <w:sz w:val="20"/>
                <w:szCs w:val="20"/>
                <w:lang w:eastAsia="zh-CN"/>
              </w:rPr>
              <w:t>书。</w:t>
            </w:r>
            <w:r>
              <w:rPr>
                <w:rFonts w:hint="eastAsia" w:ascii="国标宋体" w:hAnsi="国标宋体" w:eastAsia="国标宋体" w:cs="国标宋体"/>
                <w:i w:val="0"/>
                <w:iCs w:val="0"/>
                <w:caps w:val="0"/>
                <w:color w:val="000000"/>
                <w:spacing w:val="0"/>
                <w:sz w:val="20"/>
                <w:szCs w:val="20"/>
              </w:rPr>
              <w:t>如:某代理记账机构未领取代理记账许可证书就开展代理记账业务。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val="en-US" w:eastAsia="en-US"/>
              </w:rPr>
            </w:pPr>
          </w:p>
        </w:tc>
        <w:tc>
          <w:tcPr>
            <w:tcW w:w="4230" w:type="dxa"/>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eastAsia="zh-CN"/>
              </w:rPr>
            </w:pPr>
            <w:r>
              <w:rPr>
                <w:rFonts w:hint="eastAsia" w:ascii="国标宋体" w:hAnsi="国标宋体" w:eastAsia="国标宋体" w:cs="国标宋体"/>
                <w:i w:val="0"/>
                <w:iCs w:val="0"/>
                <w:caps w:val="0"/>
                <w:color w:val="000000"/>
                <w:spacing w:val="0"/>
                <w:sz w:val="20"/>
                <w:szCs w:val="20"/>
              </w:rPr>
              <w:t>《代理记账管理办法》(财政部令第98号)第三条:“除会计师事务所以外的机构从事代理记账业务，应当经县级以上地方人民政府财政部门批准，领取由财政部统一规定样式的代理记账许可证</w:t>
            </w:r>
            <w:r>
              <w:rPr>
                <w:rFonts w:hint="eastAsia" w:ascii="国标宋体" w:hAnsi="国标宋体" w:eastAsia="国标宋体" w:cs="国标宋体"/>
                <w:i w:val="0"/>
                <w:iCs w:val="0"/>
                <w:caps w:val="0"/>
                <w:color w:val="000000"/>
                <w:spacing w:val="0"/>
                <w:sz w:val="20"/>
                <w:szCs w:val="20"/>
                <w:lang w:eastAsia="zh-CN"/>
              </w:rPr>
              <w:t>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val="en-US" w:eastAsia="en-US"/>
              </w:rPr>
            </w:pPr>
            <w:r>
              <w:rPr>
                <w:rFonts w:hint="eastAsia" w:ascii="国标宋体" w:hAnsi="国标宋体" w:eastAsia="国标宋体" w:cs="国标宋体"/>
                <w:i w:val="0"/>
                <w:iCs w:val="0"/>
                <w:caps w:val="0"/>
                <w:color w:val="000000"/>
                <w:spacing w:val="0"/>
                <w:sz w:val="20"/>
                <w:szCs w:val="20"/>
              </w:rPr>
              <w:t>第二十六条:“未经批准从事代理记账业务的单位或者个人，由县级以上人民政府财政部门按照《中华人民共和国行政许可法》及有关规定予以查处。”</w:t>
            </w:r>
          </w:p>
        </w:tc>
        <w:tc>
          <w:tcPr>
            <w:tcW w:w="975" w:type="dxa"/>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default" w:ascii="国标宋体" w:hAnsi="国标宋体" w:eastAsia="国标宋体" w:cs="国标宋体"/>
                <w:i w:val="0"/>
                <w:iCs w:val="0"/>
                <w:caps w:val="0"/>
                <w:color w:val="000000"/>
                <w:spacing w:val="0"/>
                <w:sz w:val="20"/>
                <w:szCs w:val="20"/>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default" w:ascii="国标宋体" w:hAnsi="国标宋体" w:eastAsia="国标宋体" w:cs="国标宋体"/>
                <w:i w:val="0"/>
                <w:iCs w:val="0"/>
                <w:caps w:val="0"/>
                <w:color w:val="000000"/>
                <w:spacing w:val="0"/>
                <w:sz w:val="20"/>
                <w:szCs w:val="20"/>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default" w:ascii="国标宋体" w:hAnsi="国标宋体" w:eastAsia="国标宋体" w:cs="国标宋体"/>
                <w:i w:val="0"/>
                <w:iCs w:val="0"/>
                <w:caps w:val="0"/>
                <w:color w:val="000000"/>
                <w:spacing w:val="0"/>
                <w:sz w:val="20"/>
                <w:szCs w:val="20"/>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default" w:ascii="国标宋体" w:hAnsi="国标宋体" w:eastAsia="国标宋体" w:cs="国标宋体"/>
                <w:i w:val="0"/>
                <w:iCs w:val="0"/>
                <w:caps w:val="0"/>
                <w:color w:val="000000"/>
                <w:spacing w:val="0"/>
                <w:sz w:val="20"/>
                <w:szCs w:val="20"/>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default" w:ascii="国标宋体" w:hAnsi="国标宋体" w:eastAsia="国标宋体" w:cs="国标宋体"/>
                <w:i w:val="0"/>
                <w:iCs w:val="0"/>
                <w:caps w:val="0"/>
                <w:color w:val="000000"/>
                <w:spacing w:val="0"/>
                <w:sz w:val="20"/>
                <w:szCs w:val="20"/>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val="en-US" w:eastAsia="en-US"/>
              </w:rPr>
            </w:pPr>
            <w:r>
              <w:rPr>
                <w:rFonts w:hint="default" w:ascii="国标宋体" w:hAnsi="国标宋体" w:eastAsia="国标宋体" w:cs="国标宋体"/>
                <w:i w:val="0"/>
                <w:iCs w:val="0"/>
                <w:caps w:val="0"/>
                <w:color w:val="000000"/>
                <w:spacing w:val="0"/>
                <w:sz w:val="20"/>
                <w:szCs w:val="20"/>
                <w:lang w:val="en-US" w:eastAsia="zh-CN"/>
              </w:rPr>
              <w:t>★★</w:t>
            </w:r>
          </w:p>
        </w:tc>
        <w:tc>
          <w:tcPr>
            <w:tcW w:w="2230" w:type="dxa"/>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r>
              <w:rPr>
                <w:rFonts w:hint="eastAsia" w:ascii="国标宋体" w:hAnsi="国标宋体" w:eastAsia="国标宋体" w:cs="国标宋体"/>
                <w:i w:val="0"/>
                <w:iCs w:val="0"/>
                <w:caps w:val="0"/>
                <w:color w:val="000000"/>
                <w:spacing w:val="0"/>
                <w:sz w:val="20"/>
                <w:szCs w:val="20"/>
              </w:rPr>
              <w:t>代理记账机构应在取得营业执照并申请领取代理记账许可证书后方可开展代理记账业务。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val="en-US" w:eastAsia="en-US"/>
              </w:rPr>
            </w:pPr>
          </w:p>
        </w:tc>
        <w:tc>
          <w:tcPr>
            <w:tcW w:w="1647" w:type="dxa"/>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val="en-US" w:eastAsia="zh-CN"/>
              </w:rPr>
            </w:pPr>
            <w:r>
              <w:rPr>
                <w:rFonts w:hint="eastAsia" w:ascii="国标宋体" w:hAnsi="国标宋体" w:eastAsia="国标宋体" w:cs="国标宋体"/>
                <w:i w:val="0"/>
                <w:iCs w:val="0"/>
                <w:caps w:val="0"/>
                <w:color w:val="000000"/>
                <w:spacing w:val="0"/>
                <w:sz w:val="20"/>
                <w:szCs w:val="20"/>
                <w:lang w:val="en-US" w:eastAsia="zh-CN"/>
              </w:rPr>
              <w:t xml:space="preserve">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国标宋体" w:hAnsi="国标宋体" w:eastAsia="国标宋体" w:cs="国标宋体"/>
                <w:i w:val="0"/>
                <w:iCs w:val="0"/>
                <w:caps w:val="0"/>
                <w:color w:val="000000"/>
                <w:spacing w:val="0"/>
                <w:sz w:val="20"/>
                <w:szCs w:val="20"/>
                <w:lang w:val="en-US" w:eastAsia="zh-CN"/>
              </w:rPr>
            </w:pPr>
            <w:r>
              <w:rPr>
                <w:rFonts w:hint="eastAsia" w:ascii="国标宋体" w:hAnsi="国标宋体" w:eastAsia="国标宋体" w:cs="国标宋体"/>
                <w:i w:val="0"/>
                <w:iCs w:val="0"/>
                <w:caps w:val="0"/>
                <w:color w:val="000000"/>
                <w:spacing w:val="0"/>
                <w:sz w:val="20"/>
                <w:szCs w:val="20"/>
                <w:lang w:val="en-US" w:eastAsia="zh-CN"/>
              </w:rPr>
              <w:t>县级以上财政部门（会计科等）</w:t>
            </w:r>
          </w:p>
        </w:tc>
      </w:tr>
    </w:tbl>
    <w:p>
      <w:pPr>
        <w:pStyle w:val="4"/>
        <w:keepNext w:val="0"/>
        <w:keepLines w:val="0"/>
        <w:pageBreakBefore w:val="0"/>
        <w:widowControl w:val="0"/>
        <w:kinsoku/>
        <w:wordWrap/>
        <w:overflowPunct w:val="0"/>
        <w:topLinePunct/>
        <w:autoSpaceDE/>
        <w:autoSpaceDN/>
        <w:bidi w:val="0"/>
        <w:adjustRightInd w:val="0"/>
        <w:snapToGrid w:val="0"/>
        <w:spacing w:line="560" w:lineRule="exact"/>
        <w:jc w:val="both"/>
        <w:rPr>
          <w:rFonts w:hint="default"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sectPr>
          <w:footerReference r:id="rId5" w:type="default"/>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kinsoku/>
        <w:wordWrap/>
        <w:overflowPunct w:val="0"/>
        <w:topLinePunct/>
        <w:autoSpaceDE/>
        <w:autoSpaceDN/>
        <w:bidi w:val="0"/>
        <w:adjustRightInd w:val="0"/>
        <w:snapToGrid w:val="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6" w:type="default"/>
      <w:pgSz w:w="16840" w:h="11900" w:orient="landscape"/>
      <w:pgMar w:top="1587" w:right="2098" w:bottom="1474" w:left="2098" w:header="0" w:footer="799"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703020204020201"/>
    <w:charset w:val="86"/>
    <w:family w:val="auto"/>
    <w:pitch w:val="default"/>
    <w:sig w:usb0="00000000" w:usb1="00000000" w:usb2="00000016" w:usb3="00000000" w:csb0="0004001F" w:csb1="00000000"/>
  </w:font>
  <w:font w:name="华文细黑">
    <w:altName w:val="汉仪中等线简"/>
    <w:panose1 w:val="02010600040101010101"/>
    <w:charset w:val="00"/>
    <w:family w:val="auto"/>
    <w:pitch w:val="default"/>
    <w:sig w:usb0="00000000" w:usb1="0000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宋体">
    <w:panose1 w:val="02000500000000000000"/>
    <w:charset w:val="86"/>
    <w:family w:val="auto"/>
    <w:pitch w:val="default"/>
    <w:sig w:usb0="00000001" w:usb1="28000000" w:usb2="00000000" w:usb3="00000000" w:csb0="00060007" w:csb1="00000000"/>
  </w:font>
  <w:font w:name="Segoe UI Symbol">
    <w:altName w:val="Noto Sans"/>
    <w:panose1 w:val="020B0502040204020203"/>
    <w:charset w:val="00"/>
    <w:family w:val="swiss"/>
    <w:pitch w:val="default"/>
    <w:sig w:usb0="00000000" w:usb1="00000000" w:usb2="00040000" w:usb3="00000000" w:csb0="0000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中等线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7"/>
        <w:szCs w:val="27"/>
      </w:rPr>
    </w:pPr>
    <w:r>
      <w:rPr>
        <w:sz w:val="27"/>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uXW5UtAAAAAFAQAADwAAAAAAAAABACAAAAA4AAAAZHJzL2Rvd25y&#10;ZXYueG1sUEsBAhQAFAAAAAgAh07iQJDknMG3AQAAUQMAAA4AAAAAAAAAAQAgAAAANQEAAGRycy9l&#10;Mm9Eb2MueG1sUEsFBgAAAAAGAAYAWQEAAF4FAAAAAA==&#10;">
              <v:fill on="f" focussize="0,0"/>
              <v:stroke on="f"/>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77"/>
      </w:tabs>
      <w:spacing w:before="1" w:line="183" w:lineRule="auto"/>
      <w:rPr>
        <w:rFonts w:ascii="宋体" w:hAnsi="宋体" w:eastAsia="宋体" w:cs="宋体"/>
        <w:sz w:val="27"/>
        <w:szCs w:val="27"/>
      </w:rPr>
    </w:pPr>
    <w:r>
      <w:rPr>
        <w:sz w:val="27"/>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- 8 -</w:t>
                          </w:r>
                          <w:r>
                            <w:rPr>
                              <w:rFonts w:hint="default" w:ascii="Times New Roman" w:hAnsi="Times New Roman" w:cs="Times New Roman"/>
                              <w:sz w:val="28"/>
                              <w:szCs w:val="28"/>
                            </w:rP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- 8 -</w:t>
                    </w:r>
                    <w:r>
                      <w:rPr>
                        <w:rFonts w:hint="default" w:ascii="Times New Roman" w:hAnsi="Times New Roman" w:cs="Times New Roman"/>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ZTY5NDE5OTE2NDE4YzVjMTIwYWI3ZmM5ZTU3MTEifQ=="/>
  </w:docVars>
  <w:rsids>
    <w:rsidRoot w:val="00000000"/>
    <w:rsid w:val="08AB24D4"/>
    <w:rsid w:val="092C4CF1"/>
    <w:rsid w:val="0B5F1B77"/>
    <w:rsid w:val="0B8F77B5"/>
    <w:rsid w:val="0BFF01A9"/>
    <w:rsid w:val="0CE331A7"/>
    <w:rsid w:val="0DAF2E11"/>
    <w:rsid w:val="0E927A27"/>
    <w:rsid w:val="0F16079E"/>
    <w:rsid w:val="0F26585B"/>
    <w:rsid w:val="125C18C7"/>
    <w:rsid w:val="145FC8DA"/>
    <w:rsid w:val="146E68AD"/>
    <w:rsid w:val="14CFED99"/>
    <w:rsid w:val="187E1170"/>
    <w:rsid w:val="19CF29C4"/>
    <w:rsid w:val="19E2277D"/>
    <w:rsid w:val="1C2564C4"/>
    <w:rsid w:val="1CAC44F0"/>
    <w:rsid w:val="1DF35F7A"/>
    <w:rsid w:val="1EE76BCC"/>
    <w:rsid w:val="21117017"/>
    <w:rsid w:val="2176BB67"/>
    <w:rsid w:val="25BD776E"/>
    <w:rsid w:val="2BCAEF08"/>
    <w:rsid w:val="2C3026EF"/>
    <w:rsid w:val="2E9F5E7D"/>
    <w:rsid w:val="2ED3590C"/>
    <w:rsid w:val="2EEA3285"/>
    <w:rsid w:val="2F223BD8"/>
    <w:rsid w:val="303970ED"/>
    <w:rsid w:val="3101468D"/>
    <w:rsid w:val="31125814"/>
    <w:rsid w:val="39B90E85"/>
    <w:rsid w:val="3A4F0FB9"/>
    <w:rsid w:val="3A9B19D4"/>
    <w:rsid w:val="3BFDCDF5"/>
    <w:rsid w:val="3C030505"/>
    <w:rsid w:val="3DB91213"/>
    <w:rsid w:val="3EC053B3"/>
    <w:rsid w:val="3FA0183A"/>
    <w:rsid w:val="46562673"/>
    <w:rsid w:val="488C5052"/>
    <w:rsid w:val="49E64CEF"/>
    <w:rsid w:val="4BD9B0C6"/>
    <w:rsid w:val="4E81659E"/>
    <w:rsid w:val="505C355C"/>
    <w:rsid w:val="51EB45E7"/>
    <w:rsid w:val="5370740E"/>
    <w:rsid w:val="589E6FA3"/>
    <w:rsid w:val="5B7FC44B"/>
    <w:rsid w:val="5C1F9F38"/>
    <w:rsid w:val="5CE3049A"/>
    <w:rsid w:val="5CEB3A7D"/>
    <w:rsid w:val="5DA103AB"/>
    <w:rsid w:val="5DC3AB62"/>
    <w:rsid w:val="5F9B8FBC"/>
    <w:rsid w:val="5F9F63D0"/>
    <w:rsid w:val="62DF1FCF"/>
    <w:rsid w:val="66F7454F"/>
    <w:rsid w:val="680F5C17"/>
    <w:rsid w:val="6C79142C"/>
    <w:rsid w:val="6E7A4443"/>
    <w:rsid w:val="6F5DEC30"/>
    <w:rsid w:val="70730E44"/>
    <w:rsid w:val="72345C6E"/>
    <w:rsid w:val="735E4456"/>
    <w:rsid w:val="73707E90"/>
    <w:rsid w:val="73721C5D"/>
    <w:rsid w:val="74B4797E"/>
    <w:rsid w:val="750106F1"/>
    <w:rsid w:val="76790B4B"/>
    <w:rsid w:val="7AAA2F92"/>
    <w:rsid w:val="7BBBEFD7"/>
    <w:rsid w:val="7E75779D"/>
    <w:rsid w:val="7F5F7BF5"/>
    <w:rsid w:val="7F7D8BD1"/>
    <w:rsid w:val="7FEF41CC"/>
    <w:rsid w:val="7FFFCA35"/>
    <w:rsid w:val="92FF3B73"/>
    <w:rsid w:val="9FFFDE65"/>
    <w:rsid w:val="ADFD7A4C"/>
    <w:rsid w:val="BA7B23C6"/>
    <w:rsid w:val="BBFF8BFF"/>
    <w:rsid w:val="BD9F3C61"/>
    <w:rsid w:val="BDA510B9"/>
    <w:rsid w:val="BE7F4CD0"/>
    <w:rsid w:val="BEDE1397"/>
    <w:rsid w:val="BFBA49AF"/>
    <w:rsid w:val="BFE544FB"/>
    <w:rsid w:val="CB4E8B76"/>
    <w:rsid w:val="CD1F6AA3"/>
    <w:rsid w:val="D1FB61CE"/>
    <w:rsid w:val="D77F0F4E"/>
    <w:rsid w:val="DF7B9EA6"/>
    <w:rsid w:val="DF7BFF98"/>
    <w:rsid w:val="DFE6A989"/>
    <w:rsid w:val="EDEE5DB3"/>
    <w:rsid w:val="F37B51B0"/>
    <w:rsid w:val="F7EE8130"/>
    <w:rsid w:val="F8F1828C"/>
    <w:rsid w:val="FD9E725C"/>
    <w:rsid w:val="FDCF667C"/>
    <w:rsid w:val="FDFF61AA"/>
    <w:rsid w:val="FE734873"/>
    <w:rsid w:val="FEFBDE31"/>
    <w:rsid w:val="FF36A7C0"/>
    <w:rsid w:val="FF3DFC89"/>
    <w:rsid w:val="FF5FD7B5"/>
    <w:rsid w:val="FFE90ABB"/>
    <w:rsid w:val="FFFF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Normal Indent"/>
    <w:basedOn w:val="1"/>
    <w:qFormat/>
    <w:uiPriority w:val="99"/>
    <w:pPr>
      <w:ind w:firstLine="420" w:firstLineChars="200"/>
    </w:pPr>
  </w:style>
  <w:style w:type="paragraph" w:styleId="4">
    <w:name w:val="Body Text"/>
    <w:basedOn w:val="1"/>
    <w:next w:val="5"/>
    <w:qFormat/>
    <w:uiPriority w:val="0"/>
    <w:rPr>
      <w:rFonts w:ascii="微软雅黑" w:hAnsi="微软雅黑" w:eastAsia="微软雅黑" w:cs="微软雅黑"/>
      <w:sz w:val="31"/>
      <w:szCs w:val="31"/>
      <w:lang w:val="en-US" w:eastAsia="en-US" w:bidi="ar-SA"/>
    </w:rPr>
  </w:style>
  <w:style w:type="paragraph" w:customStyle="1" w:styleId="5">
    <w:name w:val="封面字体3"/>
    <w:next w:val="6"/>
    <w:qFormat/>
    <w:uiPriority w:val="99"/>
    <w:pPr>
      <w:widowControl w:val="0"/>
      <w:spacing w:line="240" w:lineRule="atLeast"/>
      <w:jc w:val="both"/>
    </w:pPr>
    <w:rPr>
      <w:rFonts w:ascii="华文细黑" w:hAnsi="Calibri" w:eastAsia="黑体" w:cs="Times New Roman"/>
      <w:color w:val="800000"/>
      <w:kern w:val="0"/>
      <w:sz w:val="44"/>
      <w:szCs w:val="20"/>
      <w:lang w:val="en-US" w:eastAsia="zh-CN" w:bidi="ar-SA"/>
    </w:rPr>
  </w:style>
  <w:style w:type="paragraph" w:styleId="6">
    <w:name w:val="Body Text Indent"/>
    <w:basedOn w:val="1"/>
    <w:next w:val="1"/>
    <w:qFormat/>
    <w:uiPriority w:val="0"/>
    <w:pPr>
      <w:ind w:firstLine="660"/>
    </w:pPr>
    <w:rPr>
      <w:rFonts w:ascii="楷体_GB2312" w:hAnsi="宋体" w:cs="楷体_GB231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5482</Words>
  <Characters>5552</Characters>
  <Paragraphs>41</Paragraphs>
  <TotalTime>3</TotalTime>
  <ScaleCrop>false</ScaleCrop>
  <LinksUpToDate>false</LinksUpToDate>
  <CharactersWithSpaces>5560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2023-10-14T16:46:00Z</dcterms:created>
  <dc:creator>User</dc:creator>
  <cp:lastModifiedBy>hsczww</cp:lastModifiedBy>
  <cp:lastPrinted>2025-03-15T17:51:00Z</cp:lastPrinted>
  <dcterms:modified xsi:type="dcterms:W3CDTF">2025-05-22T15:28:28Z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DF8379BD3B9F10F4CED8846752048DB0_43</vt:lpwstr>
  </property>
</Properties>
</file>