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9E94C">
      <w:pPr>
        <w:pStyle w:val="3"/>
        <w:widowControl/>
        <w:spacing w:before="0" w:beforeAutospacing="0" w:after="0" w:afterAutospacing="0" w:line="560" w:lineRule="exact"/>
        <w:rPr>
          <w:rFonts w:ascii="黑体" w:hAnsi="黑体" w:eastAsia="黑体" w:cs="仿宋_GB2312"/>
          <w:sz w:val="32"/>
          <w:szCs w:val="32"/>
        </w:rPr>
      </w:pPr>
      <w:r>
        <w:rPr>
          <w:rFonts w:hint="eastAsia" w:ascii="黑体" w:hAnsi="黑体" w:eastAsia="黑体" w:cs="仿宋_GB2312"/>
          <w:sz w:val="32"/>
          <w:szCs w:val="32"/>
        </w:rPr>
        <w:t>附件1</w:t>
      </w:r>
    </w:p>
    <w:p w14:paraId="4F874AEF">
      <w:pPr>
        <w:pStyle w:val="3"/>
        <w:widowControl/>
        <w:spacing w:before="0" w:beforeAutospacing="0" w:after="0" w:afterAutospacing="0" w:line="5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黄石市市级预算绩效管理委托服务费用标准</w:t>
      </w:r>
    </w:p>
    <w:p w14:paraId="3D7DA026">
      <w:pPr>
        <w:pStyle w:val="3"/>
        <w:widowControl/>
        <w:snapToGrid w:val="0"/>
        <w:spacing w:before="0" w:beforeAutospacing="0" w:after="0" w:afterAutospacing="0"/>
        <w:jc w:val="center"/>
        <w:rPr>
          <w:rFonts w:ascii="仿宋_GB2312" w:hAnsi="仿宋_GB2312" w:eastAsia="仿宋_GB2312" w:cs="仿宋_GB2312"/>
          <w:sz w:val="30"/>
          <w:szCs w:val="30"/>
        </w:rPr>
      </w:pPr>
    </w:p>
    <w:p w14:paraId="7C1DA969">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为规范第三方机构预算绩效管理服务收费行为，维护委托方、受托方的合法权益，根据湖北省省级预算绩效管理委托服务费用参考，结合市级预算绩效管理工作实际，制定本费用标准。</w:t>
      </w:r>
    </w:p>
    <w:p w14:paraId="1F033C72">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委托方可根据实际工作需要，按照“厉行节约、质量导向”的原则，采用全权委托或部分委托、单独委托或多家委托等方式，委托第三方机构参与预算绩效管理。具体付费根据委托项目的性质、参与方式、工作量等因素，参照下列方式进行付费。</w:t>
      </w:r>
    </w:p>
    <w:p w14:paraId="2A32BD82">
      <w:pPr>
        <w:pStyle w:val="3"/>
        <w:widowControl/>
        <w:spacing w:before="0" w:beforeAutospacing="0" w:after="0" w:afterAutospacing="0" w:line="560" w:lineRule="exact"/>
        <w:ind w:firstLine="600" w:firstLineChars="200"/>
        <w:rPr>
          <w:rFonts w:ascii="黑体" w:hAnsi="黑体" w:eastAsia="黑体" w:cs="黑体"/>
          <w:sz w:val="30"/>
          <w:szCs w:val="30"/>
        </w:rPr>
      </w:pPr>
      <w:r>
        <w:rPr>
          <w:rFonts w:hint="eastAsia" w:ascii="黑体" w:hAnsi="黑体" w:eastAsia="黑体" w:cs="黑体"/>
          <w:sz w:val="30"/>
          <w:szCs w:val="30"/>
        </w:rPr>
        <w:t>一、分段累进计费法</w:t>
      </w:r>
    </w:p>
    <w:p w14:paraId="62BCC244">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根据委托项目的资金规模，对照分档计费费率，结合开展工作的难易程度，按照超额累进方式进行测算。</w:t>
      </w:r>
    </w:p>
    <w:p w14:paraId="0EA4BDCE">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计算公式：委托服务费用=∑（分段资金额度×分档计费费率）×难度系数×政府采购入围供应商报价折扣率。</w:t>
      </w:r>
    </w:p>
    <w:p w14:paraId="11F36CAA">
      <w:pPr>
        <w:pStyle w:val="3"/>
        <w:widowControl/>
        <w:numPr>
          <w:ilvl w:val="0"/>
          <w:numId w:val="1"/>
        </w:numPr>
        <w:spacing w:before="0" w:beforeAutospacing="0" w:after="0" w:afterAutospacing="0" w:line="560" w:lineRule="exact"/>
        <w:ind w:firstLine="600" w:firstLineChars="200"/>
        <w:rPr>
          <w:rFonts w:ascii="楷体" w:hAnsi="楷体" w:eastAsia="楷体" w:cs="楷体"/>
          <w:sz w:val="30"/>
          <w:szCs w:val="30"/>
        </w:rPr>
      </w:pPr>
      <w:r>
        <w:rPr>
          <w:rFonts w:hint="eastAsia" w:ascii="楷体" w:hAnsi="楷体" w:eastAsia="楷体" w:cs="楷体"/>
          <w:sz w:val="30"/>
          <w:szCs w:val="30"/>
        </w:rPr>
        <w:t>分段累进计费参考标准</w:t>
      </w:r>
    </w:p>
    <w:tbl>
      <w:tblPr>
        <w:tblStyle w:val="4"/>
        <w:tblW w:w="822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267"/>
        <w:gridCol w:w="2268"/>
      </w:tblGrid>
      <w:tr w14:paraId="64EA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686" w:type="dxa"/>
            <w:vAlign w:val="center"/>
          </w:tcPr>
          <w:p w14:paraId="0A331714">
            <w:pPr>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分段资金额度</w:t>
            </w:r>
          </w:p>
        </w:tc>
        <w:tc>
          <w:tcPr>
            <w:tcW w:w="2267" w:type="dxa"/>
            <w:vAlign w:val="center"/>
          </w:tcPr>
          <w:p w14:paraId="4A777B4B">
            <w:pPr>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分档计费费率</w:t>
            </w:r>
          </w:p>
        </w:tc>
        <w:tc>
          <w:tcPr>
            <w:tcW w:w="2268" w:type="dxa"/>
            <w:vAlign w:val="center"/>
          </w:tcPr>
          <w:p w14:paraId="3E12AB71">
            <w:pPr>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每档最高计费</w:t>
            </w:r>
          </w:p>
        </w:tc>
      </w:tr>
      <w:tr w14:paraId="24D5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86" w:type="dxa"/>
            <w:vAlign w:val="center"/>
          </w:tcPr>
          <w:p w14:paraId="760221AE">
            <w:pPr>
              <w:spacing w:line="5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100万元（含）以下</w:t>
            </w:r>
          </w:p>
        </w:tc>
        <w:tc>
          <w:tcPr>
            <w:tcW w:w="2267" w:type="dxa"/>
            <w:vAlign w:val="center"/>
          </w:tcPr>
          <w:p w14:paraId="7A90D3A4">
            <w:pPr>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w:t>
            </w:r>
          </w:p>
        </w:tc>
        <w:tc>
          <w:tcPr>
            <w:tcW w:w="2268" w:type="dxa"/>
            <w:vAlign w:val="center"/>
          </w:tcPr>
          <w:p w14:paraId="76ABCEAB">
            <w:pPr>
              <w:widowControl/>
              <w:spacing w:line="5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color w:val="000000"/>
                <w:kern w:val="0"/>
                <w:sz w:val="24"/>
                <w:szCs w:val="24"/>
                <w:lang w:bidi="ar"/>
              </w:rPr>
              <w:t>8000</w:t>
            </w:r>
          </w:p>
        </w:tc>
      </w:tr>
      <w:tr w14:paraId="2F2B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vAlign w:val="center"/>
          </w:tcPr>
          <w:p w14:paraId="676F5286">
            <w:pPr>
              <w:spacing w:line="5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100-1000万元（含）</w:t>
            </w:r>
          </w:p>
        </w:tc>
        <w:tc>
          <w:tcPr>
            <w:tcW w:w="2267" w:type="dxa"/>
            <w:vAlign w:val="center"/>
          </w:tcPr>
          <w:p w14:paraId="33CC87E9">
            <w:pPr>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2268" w:type="dxa"/>
            <w:vAlign w:val="center"/>
          </w:tcPr>
          <w:p w14:paraId="7B326ABA">
            <w:pPr>
              <w:widowControl/>
              <w:spacing w:line="5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color w:val="000000"/>
                <w:kern w:val="0"/>
                <w:sz w:val="24"/>
                <w:szCs w:val="24"/>
                <w:lang w:bidi="ar"/>
              </w:rPr>
              <w:t>54000</w:t>
            </w:r>
          </w:p>
        </w:tc>
      </w:tr>
      <w:tr w14:paraId="1A80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vAlign w:val="center"/>
          </w:tcPr>
          <w:p w14:paraId="43DDA43C">
            <w:pPr>
              <w:spacing w:line="5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1000-2000万元（含）</w:t>
            </w:r>
          </w:p>
        </w:tc>
        <w:tc>
          <w:tcPr>
            <w:tcW w:w="2267" w:type="dxa"/>
            <w:vAlign w:val="center"/>
          </w:tcPr>
          <w:p w14:paraId="7536A8A3">
            <w:pPr>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1.5‰</w:t>
            </w:r>
          </w:p>
        </w:tc>
        <w:tc>
          <w:tcPr>
            <w:tcW w:w="2268" w:type="dxa"/>
            <w:vAlign w:val="center"/>
          </w:tcPr>
          <w:p w14:paraId="179B286A">
            <w:pPr>
              <w:widowControl/>
              <w:spacing w:line="5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color w:val="000000"/>
                <w:kern w:val="0"/>
                <w:sz w:val="24"/>
                <w:szCs w:val="24"/>
                <w:lang w:bidi="ar"/>
              </w:rPr>
              <w:t>15000</w:t>
            </w:r>
          </w:p>
        </w:tc>
      </w:tr>
      <w:tr w14:paraId="6B81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vAlign w:val="center"/>
          </w:tcPr>
          <w:p w14:paraId="7E464011">
            <w:pPr>
              <w:spacing w:line="5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2000-5000万元（含）</w:t>
            </w:r>
          </w:p>
        </w:tc>
        <w:tc>
          <w:tcPr>
            <w:tcW w:w="2267" w:type="dxa"/>
            <w:vAlign w:val="center"/>
          </w:tcPr>
          <w:p w14:paraId="77C95750">
            <w:pPr>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268" w:type="dxa"/>
            <w:vAlign w:val="center"/>
          </w:tcPr>
          <w:p w14:paraId="6BFF4BEE">
            <w:pPr>
              <w:widowControl/>
              <w:spacing w:line="5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color w:val="000000"/>
                <w:kern w:val="0"/>
                <w:sz w:val="24"/>
                <w:szCs w:val="24"/>
                <w:lang w:bidi="ar"/>
              </w:rPr>
              <w:t>30000</w:t>
            </w:r>
          </w:p>
        </w:tc>
      </w:tr>
      <w:tr w14:paraId="2EB5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vAlign w:val="center"/>
          </w:tcPr>
          <w:p w14:paraId="2DB08B5E">
            <w:pPr>
              <w:spacing w:line="5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5000-10000万元（含）</w:t>
            </w:r>
          </w:p>
        </w:tc>
        <w:tc>
          <w:tcPr>
            <w:tcW w:w="2267" w:type="dxa"/>
            <w:vAlign w:val="center"/>
          </w:tcPr>
          <w:p w14:paraId="69A93EC1">
            <w:pPr>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0.7‰</w:t>
            </w:r>
          </w:p>
        </w:tc>
        <w:tc>
          <w:tcPr>
            <w:tcW w:w="2268" w:type="dxa"/>
            <w:vAlign w:val="center"/>
          </w:tcPr>
          <w:p w14:paraId="19036CFB">
            <w:pPr>
              <w:widowControl/>
              <w:spacing w:line="5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color w:val="000000"/>
                <w:kern w:val="0"/>
                <w:sz w:val="24"/>
                <w:szCs w:val="24"/>
                <w:lang w:bidi="ar"/>
              </w:rPr>
              <w:t>35000</w:t>
            </w:r>
          </w:p>
        </w:tc>
      </w:tr>
      <w:tr w14:paraId="7E80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vAlign w:val="center"/>
          </w:tcPr>
          <w:p w14:paraId="5CB4358A">
            <w:pPr>
              <w:spacing w:line="5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10000-30000万元（含）</w:t>
            </w:r>
          </w:p>
        </w:tc>
        <w:tc>
          <w:tcPr>
            <w:tcW w:w="2267" w:type="dxa"/>
            <w:vAlign w:val="center"/>
          </w:tcPr>
          <w:p w14:paraId="73758AC3">
            <w:pPr>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0.1‰</w:t>
            </w:r>
          </w:p>
        </w:tc>
        <w:tc>
          <w:tcPr>
            <w:tcW w:w="2268" w:type="dxa"/>
            <w:vAlign w:val="center"/>
          </w:tcPr>
          <w:p w14:paraId="259CDB87">
            <w:pPr>
              <w:widowControl/>
              <w:spacing w:line="5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color w:val="000000"/>
                <w:kern w:val="0"/>
                <w:sz w:val="24"/>
                <w:szCs w:val="24"/>
                <w:lang w:bidi="ar"/>
              </w:rPr>
              <w:t>20000</w:t>
            </w:r>
          </w:p>
        </w:tc>
      </w:tr>
      <w:tr w14:paraId="03EA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vAlign w:val="center"/>
          </w:tcPr>
          <w:p w14:paraId="44F996B9">
            <w:pPr>
              <w:spacing w:line="5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30000万元以上</w:t>
            </w:r>
          </w:p>
        </w:tc>
        <w:tc>
          <w:tcPr>
            <w:tcW w:w="2267" w:type="dxa"/>
            <w:vAlign w:val="center"/>
          </w:tcPr>
          <w:p w14:paraId="0D44CC1D">
            <w:pPr>
              <w:spacing w:line="5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0.01%</w:t>
            </w:r>
          </w:p>
        </w:tc>
        <w:tc>
          <w:tcPr>
            <w:tcW w:w="2268" w:type="dxa"/>
            <w:vAlign w:val="center"/>
          </w:tcPr>
          <w:p w14:paraId="44D91B6C">
            <w:pPr>
              <w:spacing w:line="560" w:lineRule="exact"/>
              <w:ind w:firstLine="480" w:firstLineChars="200"/>
              <w:jc w:val="center"/>
              <w:rPr>
                <w:rFonts w:ascii="仿宋_GB2312" w:hAnsi="仿宋_GB2312" w:eastAsia="仿宋_GB2312" w:cs="仿宋_GB2312"/>
                <w:bCs/>
                <w:sz w:val="24"/>
                <w:szCs w:val="24"/>
              </w:rPr>
            </w:pPr>
          </w:p>
        </w:tc>
      </w:tr>
    </w:tbl>
    <w:p w14:paraId="158F6C7B">
      <w:pPr>
        <w:pStyle w:val="3"/>
        <w:widowControl/>
        <w:spacing w:before="0" w:beforeAutospacing="0" w:after="0" w:afterAutospacing="0" w:line="560" w:lineRule="exact"/>
        <w:ind w:firstLine="600" w:firstLineChars="200"/>
        <w:rPr>
          <w:rFonts w:ascii="楷体" w:hAnsi="楷体" w:eastAsia="楷体" w:cs="楷体"/>
          <w:sz w:val="30"/>
          <w:szCs w:val="30"/>
        </w:rPr>
      </w:pPr>
      <w:r>
        <w:rPr>
          <w:rFonts w:hint="eastAsia" w:ascii="楷体" w:hAnsi="楷体" w:eastAsia="楷体" w:cs="楷体"/>
          <w:sz w:val="30"/>
          <w:szCs w:val="30"/>
        </w:rPr>
        <w:t>（二）难度系数</w:t>
      </w:r>
    </w:p>
    <w:p w14:paraId="42C281A7">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原则上，样本总量按照资金额度或实施单位数量的一定比例或个数确定，对于实施单位数量在25个以内的按不低于5个确定；对实施单位数量在25个以上的按20%确定。样本应当具有广泛代表性，样本个体应采取分类、分层抽样的方法确定，并统筹考虑地域、人口、资金、工作等因素，可以根据委托方要求，适当增加样本总量，直至实现全覆盖。</w:t>
      </w:r>
    </w:p>
    <w:p w14:paraId="2A47C3B7">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2.现场抽样单位数量大于10个样本点的，每增加1个样本点，难度系数加0.025，最多加1。</w:t>
      </w:r>
    </w:p>
    <w:p w14:paraId="750922B6">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3.委托业务包含多个二级项目或者多个行业领域的，每增加一个二级项目或行业领域，难度系数增加0.1，最多不超过0.3。</w:t>
      </w:r>
    </w:p>
    <w:p w14:paraId="1C379146">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4.资金总额超过5亿元以上的项目，不再增加难度系数。</w:t>
      </w:r>
    </w:p>
    <w:p w14:paraId="479B1E13">
      <w:pPr>
        <w:pStyle w:val="3"/>
        <w:widowControl/>
        <w:spacing w:before="0" w:beforeAutospacing="0" w:after="0" w:afterAutospacing="0" w:line="560" w:lineRule="exact"/>
        <w:ind w:firstLine="600" w:firstLineChars="200"/>
        <w:rPr>
          <w:rFonts w:ascii="黑体" w:hAnsi="黑体" w:eastAsia="黑体" w:cs="黑体"/>
          <w:sz w:val="30"/>
          <w:szCs w:val="30"/>
        </w:rPr>
      </w:pPr>
      <w:r>
        <w:rPr>
          <w:rFonts w:hint="eastAsia" w:ascii="黑体" w:hAnsi="黑体" w:eastAsia="黑体" w:cs="黑体"/>
          <w:sz w:val="30"/>
          <w:szCs w:val="30"/>
        </w:rPr>
        <w:t>二、成本计费法</w:t>
      </w:r>
    </w:p>
    <w:p w14:paraId="019F7826">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按照委托第三方机构提供预算绩效管理服务所需的成本，综合考虑实际工作量、资金规模等因素进行测算。</w:t>
      </w:r>
    </w:p>
    <w:p w14:paraId="597FC171">
      <w:pPr>
        <w:pStyle w:val="3"/>
        <w:widowControl/>
        <w:spacing w:before="0" w:beforeAutospacing="0" w:after="0" w:afterAutospacing="0" w:line="560" w:lineRule="exact"/>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rPr>
        <w:t>计算公式：委托服务费用=基本费用+现场阶段费用+资金规模调整因素。</w:t>
      </w:r>
    </w:p>
    <w:p w14:paraId="726E276B">
      <w:pPr>
        <w:pStyle w:val="3"/>
        <w:widowControl/>
        <w:spacing w:before="0" w:beforeAutospacing="0" w:after="0" w:afterAutospacing="0" w:line="560" w:lineRule="exact"/>
        <w:ind w:firstLine="602" w:firstLineChars="20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成本计费参考标准</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9"/>
        <w:gridCol w:w="2132"/>
      </w:tblGrid>
      <w:tr w14:paraId="6CD0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9" w:type="dxa"/>
          </w:tcPr>
          <w:p w14:paraId="2545273B">
            <w:pPr>
              <w:pStyle w:val="3"/>
              <w:widowControl/>
              <w:spacing w:before="0" w:beforeAutospacing="0" w:after="0" w:afterAutospacing="0"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费用名称</w:t>
            </w:r>
          </w:p>
        </w:tc>
        <w:tc>
          <w:tcPr>
            <w:tcW w:w="2132" w:type="dxa"/>
          </w:tcPr>
          <w:p w14:paraId="532EF2E2">
            <w:pPr>
              <w:pStyle w:val="3"/>
              <w:widowControl/>
              <w:spacing w:before="0" w:beforeAutospacing="0" w:after="0" w:afterAutospacing="0"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金额（元）</w:t>
            </w:r>
          </w:p>
        </w:tc>
      </w:tr>
      <w:tr w14:paraId="522F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9" w:type="dxa"/>
          </w:tcPr>
          <w:p w14:paraId="0DD29049">
            <w:pPr>
              <w:pStyle w:val="3"/>
              <w:widowControl/>
              <w:spacing w:before="0" w:beforeAutospacing="0" w:after="0" w:afterAutospacing="0" w:line="5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一、基本费用</w:t>
            </w:r>
          </w:p>
        </w:tc>
        <w:tc>
          <w:tcPr>
            <w:tcW w:w="2132" w:type="dxa"/>
          </w:tcPr>
          <w:p w14:paraId="0D623D1B">
            <w:pPr>
              <w:pStyle w:val="3"/>
              <w:widowControl/>
              <w:spacing w:before="0" w:beforeAutospacing="0" w:after="0" w:afterAutospacing="0" w:line="560" w:lineRule="exact"/>
              <w:jc w:val="both"/>
              <w:rPr>
                <w:rFonts w:ascii="仿宋_GB2312" w:hAnsi="仿宋_GB2312" w:eastAsia="仿宋_GB2312" w:cs="仿宋_GB2312"/>
                <w:sz w:val="30"/>
                <w:szCs w:val="30"/>
              </w:rPr>
            </w:pPr>
          </w:p>
        </w:tc>
      </w:tr>
      <w:tr w14:paraId="7301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9" w:type="dxa"/>
          </w:tcPr>
          <w:p w14:paraId="23167B26">
            <w:pPr>
              <w:pStyle w:val="3"/>
              <w:widowControl/>
              <w:spacing w:before="0" w:beforeAutospacing="0" w:after="0" w:afterAutospacing="0" w:line="5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（一）制定工作方案、完善细化相关指标体系等前期费用</w:t>
            </w:r>
          </w:p>
        </w:tc>
        <w:tc>
          <w:tcPr>
            <w:tcW w:w="2132" w:type="dxa"/>
          </w:tcPr>
          <w:p w14:paraId="2F018A88">
            <w:pPr>
              <w:pStyle w:val="3"/>
              <w:widowControl/>
              <w:spacing w:before="0" w:beforeAutospacing="0" w:after="0" w:afterAutospacing="0" w:line="560" w:lineRule="exact"/>
              <w:jc w:val="both"/>
              <w:rPr>
                <w:rFonts w:ascii="仿宋_GB2312" w:hAnsi="仿宋_GB2312" w:eastAsia="仿宋_GB2312" w:cs="仿宋_GB2312"/>
                <w:sz w:val="30"/>
                <w:szCs w:val="30"/>
              </w:rPr>
            </w:pPr>
          </w:p>
        </w:tc>
      </w:tr>
      <w:tr w14:paraId="1974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9" w:type="dxa"/>
          </w:tcPr>
          <w:p w14:paraId="626EF46C">
            <w:pPr>
              <w:pStyle w:val="3"/>
              <w:widowControl/>
              <w:spacing w:before="0" w:beforeAutospacing="0" w:after="0" w:afterAutospacing="0" w:line="5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（二）汇总分析及撰写报告费用</w:t>
            </w:r>
          </w:p>
        </w:tc>
        <w:tc>
          <w:tcPr>
            <w:tcW w:w="2132" w:type="dxa"/>
          </w:tcPr>
          <w:p w14:paraId="15473D14">
            <w:pPr>
              <w:pStyle w:val="3"/>
              <w:widowControl/>
              <w:spacing w:before="0" w:beforeAutospacing="0" w:after="0" w:afterAutospacing="0" w:line="560" w:lineRule="exact"/>
              <w:jc w:val="both"/>
              <w:rPr>
                <w:rFonts w:ascii="仿宋_GB2312" w:hAnsi="仿宋_GB2312" w:eastAsia="仿宋_GB2312" w:cs="仿宋_GB2312"/>
                <w:sz w:val="30"/>
                <w:szCs w:val="30"/>
              </w:rPr>
            </w:pPr>
          </w:p>
        </w:tc>
      </w:tr>
      <w:tr w14:paraId="4AF5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9" w:type="dxa"/>
          </w:tcPr>
          <w:p w14:paraId="307C3E0C">
            <w:pPr>
              <w:pStyle w:val="3"/>
              <w:widowControl/>
              <w:spacing w:before="0" w:beforeAutospacing="0" w:after="0" w:afterAutospacing="0" w:line="5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二、现场阶段费用</w:t>
            </w:r>
          </w:p>
        </w:tc>
        <w:tc>
          <w:tcPr>
            <w:tcW w:w="2132" w:type="dxa"/>
          </w:tcPr>
          <w:p w14:paraId="218594BA">
            <w:pPr>
              <w:pStyle w:val="3"/>
              <w:widowControl/>
              <w:spacing w:before="0" w:beforeAutospacing="0" w:after="0" w:afterAutospacing="0" w:line="560" w:lineRule="exact"/>
              <w:jc w:val="both"/>
              <w:rPr>
                <w:rFonts w:ascii="仿宋_GB2312" w:hAnsi="仿宋_GB2312" w:eastAsia="仿宋_GB2312" w:cs="仿宋_GB2312"/>
                <w:sz w:val="30"/>
                <w:szCs w:val="30"/>
              </w:rPr>
            </w:pPr>
          </w:p>
        </w:tc>
      </w:tr>
      <w:tr w14:paraId="69F9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9" w:type="dxa"/>
          </w:tcPr>
          <w:p w14:paraId="2875FD6B">
            <w:pPr>
              <w:pStyle w:val="3"/>
              <w:widowControl/>
              <w:spacing w:before="0" w:beforeAutospacing="0" w:after="0" w:afterAutospacing="0" w:line="5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*个样本点×标准（3000元-5000元）</w:t>
            </w:r>
          </w:p>
        </w:tc>
        <w:tc>
          <w:tcPr>
            <w:tcW w:w="2132" w:type="dxa"/>
          </w:tcPr>
          <w:p w14:paraId="65744D09">
            <w:pPr>
              <w:pStyle w:val="3"/>
              <w:widowControl/>
              <w:spacing w:before="0" w:beforeAutospacing="0" w:after="0" w:afterAutospacing="0" w:line="560" w:lineRule="exact"/>
              <w:jc w:val="both"/>
              <w:rPr>
                <w:rFonts w:ascii="仿宋_GB2312" w:hAnsi="仿宋_GB2312" w:eastAsia="仿宋_GB2312" w:cs="仿宋_GB2312"/>
                <w:sz w:val="30"/>
                <w:szCs w:val="30"/>
              </w:rPr>
            </w:pPr>
          </w:p>
        </w:tc>
      </w:tr>
      <w:tr w14:paraId="0256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9" w:type="dxa"/>
          </w:tcPr>
          <w:p w14:paraId="219747AE">
            <w:pPr>
              <w:pStyle w:val="3"/>
              <w:widowControl/>
              <w:spacing w:before="0" w:beforeAutospacing="0" w:after="0" w:afterAutospacing="0" w:line="5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三、资金规模调整因素</w:t>
            </w:r>
          </w:p>
        </w:tc>
        <w:tc>
          <w:tcPr>
            <w:tcW w:w="2132" w:type="dxa"/>
          </w:tcPr>
          <w:p w14:paraId="60DA174B">
            <w:pPr>
              <w:pStyle w:val="3"/>
              <w:widowControl/>
              <w:spacing w:before="0" w:beforeAutospacing="0" w:after="0" w:afterAutospacing="0" w:line="560" w:lineRule="exact"/>
              <w:jc w:val="both"/>
              <w:rPr>
                <w:rFonts w:ascii="仿宋_GB2312" w:hAnsi="仿宋_GB2312" w:eastAsia="仿宋_GB2312" w:cs="仿宋_GB2312"/>
                <w:sz w:val="30"/>
                <w:szCs w:val="30"/>
              </w:rPr>
            </w:pPr>
          </w:p>
        </w:tc>
      </w:tr>
      <w:tr w14:paraId="610C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9" w:type="dxa"/>
          </w:tcPr>
          <w:p w14:paraId="4F7B070F">
            <w:pPr>
              <w:pStyle w:val="3"/>
              <w:widowControl/>
              <w:spacing w:before="0" w:beforeAutospacing="0" w:after="0" w:afterAutospacing="0" w:line="56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项目资金规模×1/10000</w:t>
            </w:r>
          </w:p>
        </w:tc>
        <w:tc>
          <w:tcPr>
            <w:tcW w:w="2132" w:type="dxa"/>
          </w:tcPr>
          <w:p w14:paraId="5EB9E554">
            <w:pPr>
              <w:pStyle w:val="3"/>
              <w:widowControl/>
              <w:spacing w:before="0" w:beforeAutospacing="0" w:after="0" w:afterAutospacing="0" w:line="560" w:lineRule="exact"/>
              <w:jc w:val="both"/>
              <w:rPr>
                <w:rFonts w:ascii="仿宋_GB2312" w:hAnsi="仿宋_GB2312" w:eastAsia="仿宋_GB2312" w:cs="仿宋_GB2312"/>
                <w:sz w:val="30"/>
                <w:szCs w:val="30"/>
              </w:rPr>
            </w:pPr>
          </w:p>
        </w:tc>
      </w:tr>
      <w:tr w14:paraId="2F28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9" w:type="dxa"/>
          </w:tcPr>
          <w:p w14:paraId="313BCE94">
            <w:pPr>
              <w:pStyle w:val="3"/>
              <w:widowControl/>
              <w:spacing w:before="0" w:beforeAutospacing="0" w:after="0" w:afterAutospacing="0"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合     计</w:t>
            </w:r>
          </w:p>
        </w:tc>
        <w:tc>
          <w:tcPr>
            <w:tcW w:w="2132" w:type="dxa"/>
          </w:tcPr>
          <w:p w14:paraId="636F1670">
            <w:pPr>
              <w:pStyle w:val="3"/>
              <w:widowControl/>
              <w:spacing w:before="0" w:beforeAutospacing="0" w:after="0" w:afterAutospacing="0" w:line="560" w:lineRule="exact"/>
              <w:jc w:val="both"/>
              <w:rPr>
                <w:rFonts w:ascii="仿宋_GB2312" w:hAnsi="仿宋_GB2312" w:eastAsia="仿宋_GB2312" w:cs="仿宋_GB2312"/>
                <w:sz w:val="30"/>
                <w:szCs w:val="30"/>
              </w:rPr>
            </w:pPr>
          </w:p>
        </w:tc>
      </w:tr>
    </w:tbl>
    <w:p w14:paraId="5F26F107">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备注：1.基本费用是指在第三方机构实际工作过程中，综合考虑项目复杂程度、技术难度、覆盖范围、跨领域、跨年度等因素测算的基础服务费用，包括制定工作方案、完善细化相关指标体系、汇总分析及撰写报告等费用，原则上最高不超过2万元。</w:t>
      </w:r>
    </w:p>
    <w:p w14:paraId="7ED2999F">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2.现场阶段费用是指第三方机构实地开展评价，调研等相关工作时产生的服务费用，涵盖交通、食宿、人员等费用。现场阶段费用采取单点包干制，委托方可按照每个样本点3000-5000元的标准进行付费。</w:t>
      </w:r>
    </w:p>
    <w:p w14:paraId="18E9FCF2">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3.资金规模调整因素是指委托项目资金规模达到1亿元以上的，应考虑项目金额规模因素，对费用予以调整，调整标准按项目资金的十万分之一付费。</w:t>
      </w:r>
    </w:p>
    <w:p w14:paraId="17D95F0B">
      <w:pPr>
        <w:pStyle w:val="3"/>
        <w:widowControl/>
        <w:spacing w:before="0" w:beforeAutospacing="0" w:after="0" w:afterAutospacing="0" w:line="560" w:lineRule="exact"/>
        <w:ind w:firstLine="600" w:firstLineChars="200"/>
        <w:rPr>
          <w:rFonts w:ascii="黑体" w:hAnsi="黑体" w:eastAsia="黑体" w:cs="黑体"/>
          <w:sz w:val="30"/>
          <w:szCs w:val="30"/>
        </w:rPr>
      </w:pPr>
      <w:r>
        <w:rPr>
          <w:rFonts w:hint="eastAsia" w:ascii="黑体" w:hAnsi="黑体" w:eastAsia="黑体" w:cs="黑体"/>
          <w:sz w:val="30"/>
          <w:szCs w:val="30"/>
        </w:rPr>
        <w:t>三、计时计费法</w:t>
      </w:r>
    </w:p>
    <w:p w14:paraId="3C855801">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按照参加预算绩效管理相关工作所需人日数和每个工作人日收费标准测算费用。工作人日数根据预算绩效管理服务的工作量确定；每个工作人日收费标准根据参与预算绩效管理工作人员专业技能水平确定。</w:t>
      </w:r>
    </w:p>
    <w:p w14:paraId="113B53AC">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工作人日收费标准：按《湖北省省级党政机关评审费管理暂行办法》执行。</w:t>
      </w:r>
    </w:p>
    <w:p w14:paraId="0BC79AB3">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计算公式：委托服务费用=工作人数×收费标准×工作日数。</w:t>
      </w:r>
    </w:p>
    <w:p w14:paraId="31845FD6">
      <w:pPr>
        <w:pStyle w:val="3"/>
        <w:widowControl/>
        <w:spacing w:before="0" w:beforeAutospacing="0" w:after="0" w:afterAutospacing="0" w:line="560" w:lineRule="exact"/>
        <w:ind w:firstLine="600" w:firstLineChars="200"/>
        <w:rPr>
          <w:rFonts w:ascii="仿宋_GB2312" w:hAnsi="仿宋_GB2312" w:eastAsia="仿宋_GB2312" w:cs="仿宋_GB2312"/>
          <w:sz w:val="30"/>
          <w:szCs w:val="30"/>
        </w:rPr>
      </w:pPr>
    </w:p>
    <w:p w14:paraId="1AEBBABD">
      <w:pPr>
        <w:pStyle w:val="3"/>
        <w:widowControl/>
        <w:spacing w:before="0" w:beforeAutospacing="0" w:after="0" w:afterAutospacing="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委托方可对第三方机构参与预算绩效管理实施情况和工作质量进行综合评估，评估结果与委托服务费用支付挂钩。评估结果为“优”“良”，考评调整系数为1；评估结果为“中”，考评调整系数为0.95；评估结果为“差”，考评调整系数为0.9。</w:t>
      </w:r>
    </w:p>
    <w:p w14:paraId="28F1C777">
      <w:pPr>
        <w:pStyle w:val="3"/>
        <w:widowControl/>
        <w:spacing w:before="0" w:beforeAutospacing="0" w:after="0" w:afterAutospacing="0"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计算公式：最终付费=委托服务费用×考评调整系数。</w:t>
      </w:r>
    </w:p>
    <w:p w14:paraId="4B06FBF2">
      <w:pPr>
        <w:spacing w:line="560" w:lineRule="exact"/>
        <w:rPr>
          <w:rFonts w:ascii="仿宋_GB2312" w:hAnsi="仿宋_GB2312" w:eastAsia="仿宋_GB2312" w:cs="仿宋_GB2312"/>
          <w:sz w:val="30"/>
          <w:szCs w:val="30"/>
        </w:rPr>
      </w:pPr>
    </w:p>
    <w:p w14:paraId="0B7368F7">
      <w:pPr>
        <w:spacing w:line="560" w:lineRule="exact"/>
        <w:rPr>
          <w:rFonts w:ascii="仿宋_GB2312" w:hAnsi="仿宋_GB2312" w:eastAsia="仿宋_GB2312" w:cs="仿宋_GB2312"/>
          <w:sz w:val="30"/>
          <w:szCs w:val="30"/>
        </w:rPr>
      </w:pPr>
    </w:p>
    <w:p w14:paraId="0DAAD752">
      <w:pPr>
        <w:spacing w:line="560" w:lineRule="exact"/>
        <w:rPr>
          <w:rFonts w:ascii="仿宋_GB2312" w:hAnsi="仿宋_GB2312" w:eastAsia="仿宋_GB2312" w:cs="仿宋_GB2312"/>
          <w:sz w:val="30"/>
          <w:szCs w:val="30"/>
        </w:rPr>
      </w:pPr>
    </w:p>
    <w:p w14:paraId="5505F3F9">
      <w:pPr>
        <w:spacing w:line="560" w:lineRule="exact"/>
        <w:rPr>
          <w:rFonts w:ascii="仿宋_GB2312" w:hAnsi="仿宋_GB2312" w:eastAsia="仿宋_GB2312" w:cs="仿宋_GB2312"/>
          <w:sz w:val="30"/>
          <w:szCs w:val="30"/>
        </w:rPr>
      </w:pPr>
    </w:p>
    <w:p w14:paraId="48246A73">
      <w:pPr>
        <w:spacing w:line="560" w:lineRule="exact"/>
        <w:rPr>
          <w:rFonts w:ascii="仿宋_GB2312" w:hAnsi="仿宋_GB2312" w:eastAsia="仿宋_GB2312" w:cs="仿宋_GB2312"/>
          <w:sz w:val="30"/>
          <w:szCs w:val="30"/>
        </w:rPr>
      </w:pPr>
    </w:p>
    <w:p w14:paraId="683DC359">
      <w:pPr>
        <w:spacing w:line="560" w:lineRule="exact"/>
        <w:rPr>
          <w:rFonts w:ascii="仿宋_GB2312" w:hAnsi="仿宋_GB2312" w:eastAsia="仿宋_GB2312" w:cs="仿宋_GB2312"/>
          <w:sz w:val="30"/>
          <w:szCs w:val="30"/>
        </w:rPr>
      </w:pPr>
    </w:p>
    <w:p w14:paraId="271FF184">
      <w:pPr>
        <w:spacing w:line="560" w:lineRule="exact"/>
        <w:rPr>
          <w:rFonts w:ascii="仿宋_GB2312" w:hAnsi="仿宋_GB2312" w:eastAsia="仿宋_GB2312" w:cs="仿宋_GB2312"/>
          <w:sz w:val="30"/>
          <w:szCs w:val="30"/>
        </w:rPr>
      </w:pPr>
    </w:p>
    <w:p w14:paraId="0FBDFC10">
      <w:pPr>
        <w:spacing w:line="560" w:lineRule="exact"/>
        <w:rPr>
          <w:rFonts w:ascii="仿宋_GB2312" w:hAnsi="仿宋_GB2312" w:eastAsia="仿宋_GB2312" w:cs="仿宋_GB2312"/>
          <w:sz w:val="30"/>
          <w:szCs w:val="30"/>
        </w:rPr>
      </w:pPr>
    </w:p>
    <w:p w14:paraId="06AF994B">
      <w:pPr>
        <w:spacing w:line="560" w:lineRule="exact"/>
        <w:rPr>
          <w:rFonts w:ascii="仿宋_GB2312" w:hAnsi="仿宋_GB2312" w:eastAsia="仿宋_GB2312" w:cs="仿宋_GB2312"/>
          <w:sz w:val="30"/>
          <w:szCs w:val="30"/>
        </w:rPr>
      </w:pPr>
    </w:p>
    <w:p w14:paraId="5E04B302">
      <w:pPr>
        <w:spacing w:line="560" w:lineRule="exact"/>
        <w:rPr>
          <w:rFonts w:ascii="仿宋_GB2312" w:hAnsi="仿宋_GB2312" w:eastAsia="仿宋_GB2312" w:cs="仿宋_GB2312"/>
          <w:sz w:val="30"/>
          <w:szCs w:val="30"/>
        </w:rPr>
      </w:pPr>
    </w:p>
    <w:p w14:paraId="07C8EEBF">
      <w:pPr>
        <w:spacing w:line="560" w:lineRule="exact"/>
        <w:rPr>
          <w:rFonts w:ascii="仿宋_GB2312" w:hAnsi="仿宋_GB2312" w:eastAsia="仿宋_GB2312" w:cs="仿宋_GB2312"/>
          <w:sz w:val="30"/>
          <w:szCs w:val="30"/>
        </w:rPr>
      </w:pPr>
    </w:p>
    <w:p w14:paraId="368E406B">
      <w:pPr>
        <w:spacing w:line="560" w:lineRule="exact"/>
        <w:rPr>
          <w:rFonts w:ascii="仿宋_GB2312" w:hAnsi="仿宋_GB2312" w:eastAsia="仿宋_GB2312" w:cs="仿宋_GB2312"/>
          <w:sz w:val="30"/>
          <w:szCs w:val="30"/>
        </w:rPr>
      </w:pPr>
    </w:p>
    <w:p w14:paraId="6409BAEE">
      <w:pPr>
        <w:spacing w:line="560" w:lineRule="exact"/>
        <w:rPr>
          <w:rFonts w:ascii="仿宋_GB2312" w:hAnsi="仿宋_GB2312" w:eastAsia="仿宋_GB2312" w:cs="仿宋_GB2312"/>
          <w:sz w:val="30"/>
          <w:szCs w:val="30"/>
        </w:rPr>
      </w:pPr>
    </w:p>
    <w:p w14:paraId="6B0707C0">
      <w:pPr>
        <w:spacing w:line="560" w:lineRule="exact"/>
        <w:rPr>
          <w:rFonts w:hint="eastAsia" w:ascii="仿宋_GB2312" w:hAnsi="仿宋_GB2312" w:eastAsia="仿宋_GB2312" w:cs="仿宋_GB2312"/>
          <w:sz w:val="30"/>
          <w:szCs w:val="30"/>
        </w:rPr>
      </w:pPr>
    </w:p>
    <w:p w14:paraId="24836D2B">
      <w:pPr>
        <w:spacing w:line="560" w:lineRule="exact"/>
        <w:rPr>
          <w:rFonts w:ascii="仿宋_GB2312" w:hAnsi="仿宋_GB2312" w:eastAsia="仿宋_GB2312" w:cs="仿宋_GB2312"/>
          <w:sz w:val="30"/>
          <w:szCs w:val="30"/>
        </w:rPr>
      </w:pPr>
    </w:p>
    <w:p w14:paraId="561452C7">
      <w:pPr>
        <w:spacing w:line="560" w:lineRule="exact"/>
        <w:rPr>
          <w:rFonts w:ascii="仿宋_GB2312" w:hAnsi="仿宋_GB2312" w:eastAsia="仿宋_GB2312" w:cs="仿宋_GB2312"/>
          <w:sz w:val="30"/>
          <w:szCs w:val="30"/>
        </w:rPr>
      </w:pPr>
    </w:p>
    <w:p w14:paraId="0FDAC726">
      <w:pPr>
        <w:spacing w:line="560" w:lineRule="exact"/>
        <w:rPr>
          <w:rFonts w:ascii="仿宋_GB2312" w:hAnsi="仿宋_GB2312" w:eastAsia="仿宋_GB2312" w:cs="仿宋_GB2312"/>
          <w:sz w:val="30"/>
          <w:szCs w:val="30"/>
        </w:rPr>
      </w:pPr>
    </w:p>
    <w:p w14:paraId="0AD849B2">
      <w:pPr>
        <w:spacing w:line="560" w:lineRule="exact"/>
        <w:rPr>
          <w:rFonts w:ascii="仿宋_GB2312" w:hAnsi="仿宋_GB2312" w:eastAsia="仿宋_GB2312" w:cs="仿宋_GB2312"/>
          <w:sz w:val="30"/>
          <w:szCs w:val="30"/>
        </w:rPr>
      </w:pPr>
    </w:p>
    <w:p w14:paraId="40398AEA">
      <w:pPr>
        <w:spacing w:line="560" w:lineRule="exact"/>
        <w:rPr>
          <w:rFonts w:ascii="仿宋_GB2312" w:hAnsi="仿宋_GB2312" w:eastAsia="仿宋_GB2312" w:cs="仿宋_GB2312"/>
          <w:sz w:val="30"/>
          <w:szCs w:val="30"/>
        </w:rPr>
      </w:pPr>
    </w:p>
    <w:p w14:paraId="009D9261">
      <w:pPr>
        <w:spacing w:line="560" w:lineRule="exact"/>
        <w:rPr>
          <w:rFonts w:ascii="黑体" w:hAnsi="黑体" w:eastAsia="黑体" w:cs="仿宋_GB2312"/>
          <w:sz w:val="32"/>
          <w:szCs w:val="32"/>
        </w:rPr>
      </w:pPr>
      <w:r>
        <w:rPr>
          <w:rFonts w:hint="eastAsia" w:ascii="黑体" w:hAnsi="黑体" w:eastAsia="黑体" w:cs="仿宋_GB2312"/>
          <w:sz w:val="32"/>
          <w:szCs w:val="32"/>
        </w:rPr>
        <w:t>附件2</w:t>
      </w:r>
    </w:p>
    <w:p w14:paraId="51EB080B">
      <w:pPr>
        <w:spacing w:line="560" w:lineRule="exact"/>
        <w:rPr>
          <w:rFonts w:ascii="仿宋_GB2312" w:hAnsi="仿宋_GB2312" w:eastAsia="仿宋_GB2312" w:cs="仿宋_GB2312"/>
          <w:sz w:val="30"/>
          <w:szCs w:val="30"/>
        </w:rPr>
      </w:pPr>
    </w:p>
    <w:p w14:paraId="6287F036">
      <w:pPr>
        <w:spacing w:line="560" w:lineRule="exact"/>
        <w:jc w:val="center"/>
        <w:rPr>
          <w:rFonts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黄石市预算绩效管理工作第三方委托协议书</w:t>
      </w:r>
    </w:p>
    <w:p w14:paraId="5FAE1364">
      <w:pPr>
        <w:spacing w:line="560" w:lineRule="exact"/>
        <w:jc w:val="center"/>
        <w:rPr>
          <w:rFonts w:ascii="方正小标宋_GBK" w:hAnsi="仿宋_GB2312" w:eastAsia="方正小标宋_GBK" w:cs="仿宋_GB2312"/>
          <w:sz w:val="30"/>
          <w:szCs w:val="30"/>
        </w:rPr>
      </w:pPr>
      <w:r>
        <w:rPr>
          <w:rFonts w:hint="eastAsia" w:ascii="方正小标宋_GBK" w:hAnsi="方正小标宋简体" w:eastAsia="方正小标宋_GBK" w:cs="方正小标宋简体"/>
          <w:bCs/>
          <w:sz w:val="36"/>
          <w:szCs w:val="36"/>
        </w:rPr>
        <w:t>（模板）</w:t>
      </w:r>
    </w:p>
    <w:p w14:paraId="6AC0D34C">
      <w:pPr>
        <w:spacing w:line="560" w:lineRule="exact"/>
        <w:rPr>
          <w:rFonts w:ascii="仿宋_GB2312" w:hAnsi="仿宋_GB2312" w:eastAsia="仿宋_GB2312" w:cs="仿宋_GB2312"/>
          <w:sz w:val="32"/>
          <w:szCs w:val="32"/>
        </w:rPr>
      </w:pPr>
    </w:p>
    <w:p w14:paraId="5BB7D8A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甲方（委托方）：             乙方（受托方）：</w:t>
      </w:r>
    </w:p>
    <w:p w14:paraId="03949E7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地址：</w:t>
      </w:r>
    </w:p>
    <w:p w14:paraId="671BB9C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邮编：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邮编：</w:t>
      </w:r>
    </w:p>
    <w:p w14:paraId="378CBED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开户行：   </w:t>
      </w:r>
    </w:p>
    <w:p w14:paraId="3CD0682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帐号：</w:t>
      </w:r>
    </w:p>
    <w:p w14:paraId="5E9A754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联系人：</w:t>
      </w:r>
    </w:p>
    <w:p w14:paraId="648FB49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p>
    <w:p w14:paraId="5489327B">
      <w:pPr>
        <w:spacing w:line="560" w:lineRule="exact"/>
        <w:rPr>
          <w:rFonts w:ascii="仿宋_GB2312" w:hAnsi="仿宋_GB2312" w:eastAsia="仿宋_GB2312" w:cs="仿宋_GB2312"/>
          <w:sz w:val="32"/>
          <w:szCs w:val="32"/>
        </w:rPr>
      </w:pPr>
    </w:p>
    <w:p w14:paraId="25859FE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为了做好预算绩效管理委托第三方实施工作，甲、乙双方在平等、自愿的基础上，经协商就相关事宜达成如下协议：</w:t>
      </w:r>
    </w:p>
    <w:p w14:paraId="57035DDF">
      <w:pPr>
        <w:spacing w:line="560" w:lineRule="exact"/>
        <w:ind w:firstLine="640" w:firstLineChars="200"/>
        <w:rPr>
          <w:rFonts w:ascii="黑体" w:hAnsi="黑体" w:eastAsia="黑体"/>
          <w:sz w:val="32"/>
          <w:szCs w:val="32"/>
        </w:rPr>
      </w:pPr>
      <w:r>
        <w:rPr>
          <w:rFonts w:hint="eastAsia" w:ascii="黑体" w:hAnsi="黑体" w:eastAsia="黑体"/>
          <w:sz w:val="32"/>
          <w:szCs w:val="32"/>
        </w:rPr>
        <w:t>一、委托事项：</w:t>
      </w:r>
    </w:p>
    <w:p w14:paraId="72F4A2E1">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二、委托事项的主要工作内容：</w:t>
      </w:r>
      <w:r>
        <w:rPr>
          <w:rFonts w:hint="eastAsia" w:ascii="仿宋_GB2312" w:hAnsi="仿宋_GB2312" w:eastAsia="仿宋_GB2312" w:cs="仿宋_GB2312"/>
          <w:sz w:val="32"/>
          <w:szCs w:val="32"/>
        </w:rPr>
        <w:t>（含完成标准、质量指标）</w:t>
      </w:r>
    </w:p>
    <w:p w14:paraId="344F54E3">
      <w:pPr>
        <w:spacing w:line="560" w:lineRule="exact"/>
        <w:rPr>
          <w:rFonts w:ascii="仿宋" w:hAnsi="仿宋" w:eastAsia="仿宋"/>
          <w:sz w:val="32"/>
          <w:szCs w:val="32"/>
        </w:rPr>
      </w:pPr>
    </w:p>
    <w:p w14:paraId="30BC3F52">
      <w:pPr>
        <w:spacing w:line="560" w:lineRule="exact"/>
        <w:rPr>
          <w:rFonts w:ascii="仿宋" w:hAnsi="仿宋" w:eastAsia="仿宋"/>
          <w:sz w:val="32"/>
          <w:szCs w:val="32"/>
        </w:rPr>
      </w:pPr>
    </w:p>
    <w:p w14:paraId="7EF34F57">
      <w:pPr>
        <w:spacing w:line="560" w:lineRule="exact"/>
        <w:rPr>
          <w:rFonts w:ascii="仿宋" w:hAnsi="仿宋" w:eastAsia="仿宋"/>
          <w:sz w:val="32"/>
          <w:szCs w:val="32"/>
        </w:rPr>
      </w:pPr>
    </w:p>
    <w:p w14:paraId="66DE9794">
      <w:pPr>
        <w:spacing w:line="560" w:lineRule="exact"/>
        <w:rPr>
          <w:rFonts w:ascii="仿宋" w:hAnsi="仿宋" w:eastAsia="仿宋"/>
          <w:sz w:val="32"/>
          <w:szCs w:val="32"/>
        </w:rPr>
      </w:pPr>
    </w:p>
    <w:p w14:paraId="5367CDD0">
      <w:pPr>
        <w:spacing w:line="560" w:lineRule="exact"/>
        <w:ind w:firstLine="640" w:firstLineChars="200"/>
        <w:rPr>
          <w:rFonts w:ascii="黑体" w:hAnsi="黑体" w:eastAsia="黑体"/>
          <w:sz w:val="32"/>
          <w:szCs w:val="32"/>
        </w:rPr>
      </w:pPr>
      <w:r>
        <w:rPr>
          <w:rFonts w:hint="eastAsia" w:ascii="黑体" w:hAnsi="黑体" w:eastAsia="黑体"/>
          <w:sz w:val="32"/>
          <w:szCs w:val="32"/>
        </w:rPr>
        <w:t>三、时间要求：</w:t>
      </w:r>
    </w:p>
    <w:p w14:paraId="01B94A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乙方开展              工作于      年    月    日开始，到      年    月    日结束前，向委托方递交预算资料及绩效评价结果等。</w:t>
      </w:r>
    </w:p>
    <w:p w14:paraId="26027C48">
      <w:pPr>
        <w:spacing w:line="560" w:lineRule="exact"/>
        <w:ind w:firstLine="640" w:firstLineChars="200"/>
        <w:rPr>
          <w:rFonts w:ascii="黑体" w:hAnsi="黑体" w:eastAsia="黑体"/>
          <w:sz w:val="32"/>
          <w:szCs w:val="32"/>
        </w:rPr>
      </w:pPr>
      <w:r>
        <w:rPr>
          <w:rFonts w:hint="eastAsia" w:ascii="黑体" w:hAnsi="黑体" w:eastAsia="黑体"/>
          <w:sz w:val="32"/>
          <w:szCs w:val="32"/>
        </w:rPr>
        <w:t>四、签约双方的权利和义务</w:t>
      </w:r>
    </w:p>
    <w:p w14:paraId="5E0974A3">
      <w:pPr>
        <w:spacing w:line="560" w:lineRule="exact"/>
        <w:ind w:firstLine="643" w:firstLineChars="200"/>
        <w:rPr>
          <w:rFonts w:ascii="楷体" w:hAnsi="楷体" w:eastAsia="楷体"/>
          <w:b/>
          <w:sz w:val="32"/>
          <w:szCs w:val="32"/>
        </w:rPr>
      </w:pPr>
      <w:r>
        <w:rPr>
          <w:rFonts w:hint="eastAsia" w:ascii="楷体" w:hAnsi="楷体" w:eastAsia="楷体"/>
          <w:b/>
          <w:sz w:val="32"/>
          <w:szCs w:val="32"/>
        </w:rPr>
        <w:t>（一）甲方的权利和义务</w:t>
      </w:r>
    </w:p>
    <w:p w14:paraId="2D477D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1、确定委托预算绩效管理相关工作的目的、内容和要求；</w:t>
      </w:r>
    </w:p>
    <w:p w14:paraId="0F4997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2、对乙方开展预算绩效管理工作的时间、质量进行督查；</w:t>
      </w:r>
    </w:p>
    <w:p w14:paraId="73D0BC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3、协调相关部门（单位）关系，保证委托的预算绩效管理相关工作正常开展；</w:t>
      </w:r>
    </w:p>
    <w:p w14:paraId="62D39A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4、审核确定乙方研究制订的绩效评价指标体系及工作方案；</w:t>
      </w:r>
    </w:p>
    <w:p w14:paraId="5179DC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5、审核乙方提交的绩效评价（绩效评估）报告；</w:t>
      </w:r>
    </w:p>
    <w:p w14:paraId="09849B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6、对委托的事项进行验收；</w:t>
      </w:r>
    </w:p>
    <w:p w14:paraId="0E9961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7、按协议规定支付委托费用。</w:t>
      </w:r>
    </w:p>
    <w:p w14:paraId="6EFE69CE">
      <w:pPr>
        <w:spacing w:line="560" w:lineRule="exact"/>
        <w:ind w:firstLine="643" w:firstLineChars="200"/>
        <w:rPr>
          <w:rFonts w:ascii="楷体" w:hAnsi="楷体" w:eastAsia="楷体"/>
          <w:b/>
          <w:sz w:val="32"/>
          <w:szCs w:val="32"/>
        </w:rPr>
      </w:pPr>
      <w:r>
        <w:rPr>
          <w:rFonts w:hint="eastAsia" w:ascii="楷体" w:hAnsi="楷体" w:eastAsia="楷体"/>
          <w:b/>
          <w:sz w:val="32"/>
          <w:szCs w:val="32"/>
        </w:rPr>
        <w:t>（二）乙方的权利和义务</w:t>
      </w:r>
    </w:p>
    <w:p w14:paraId="04DE1A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1、提交受托的绩效评价实施方案；</w:t>
      </w:r>
    </w:p>
    <w:p w14:paraId="4A4E6B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2、按照预算绩效管理及相关法律法规要求、公平、公正地开展受托的预算绩效管理相关工作；</w:t>
      </w:r>
    </w:p>
    <w:p w14:paraId="2C6877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3、按规定时间完成受托承担的预算绩效管理工作任务；</w:t>
      </w:r>
    </w:p>
    <w:p w14:paraId="206F0F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4、提交预算绩效评价（绩效评估）报告，并对提供给甲方的数据及资料、报告的准确性、真实性负责；</w:t>
      </w:r>
    </w:p>
    <w:p w14:paraId="0FFB58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5、在开展受托的预算绩效管理工作中，乙方须指定专人负责配合、协调甲方的工作，并积极参与甲方的工作组织，提供咨询服务；</w:t>
      </w:r>
    </w:p>
    <w:p w14:paraId="36B72B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6、对预算绩效管理相关工作中获悉的国家秘密、商业秘密、工作秘密等负有保密义务；未经甲方同意，乙方不得以任何形式对外提供、泄露、公开预算绩效管理工作相关报告和文档资料。</w:t>
      </w:r>
    </w:p>
    <w:p w14:paraId="0DDD38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7、按协议规定收取委托费用。</w:t>
      </w:r>
    </w:p>
    <w:p w14:paraId="5045D02B">
      <w:pPr>
        <w:spacing w:line="560" w:lineRule="exact"/>
        <w:ind w:firstLine="640" w:firstLineChars="200"/>
        <w:rPr>
          <w:rFonts w:ascii="黑体" w:hAnsi="黑体" w:eastAsia="黑体"/>
          <w:sz w:val="32"/>
          <w:szCs w:val="32"/>
        </w:rPr>
      </w:pPr>
      <w:r>
        <w:rPr>
          <w:rFonts w:hint="eastAsia" w:ascii="黑体" w:hAnsi="黑体" w:eastAsia="黑体"/>
          <w:sz w:val="32"/>
          <w:szCs w:val="32"/>
        </w:rPr>
        <w:t>五、费用与支付方式</w:t>
      </w:r>
    </w:p>
    <w:p w14:paraId="5A0566A2">
      <w:pPr>
        <w:pStyle w:val="3"/>
        <w:widowControl/>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经双方协商，甲方向乙方支付费用人民币         （大写）。项目完成后，甲方可对乙方提交的绩效报告质量进行评估，评估结果分为“优”、“良”、“中”、“差”四等。评估结果为“优”或“良”的按合同协议全额付费；评估结果为“中”的按合同协议扣减5%的服务费用；评估结果为“差”的将按合同协议扣减10%的服务费用。甲方按评估结果付乙方劳务费。甲方付款前乙方应提供合法税务发票。</w:t>
      </w:r>
    </w:p>
    <w:p w14:paraId="34B30284">
      <w:pPr>
        <w:spacing w:line="560" w:lineRule="exact"/>
        <w:ind w:firstLine="640" w:firstLineChars="200"/>
        <w:rPr>
          <w:rFonts w:ascii="黑体" w:hAnsi="黑体" w:eastAsia="黑体"/>
          <w:sz w:val="32"/>
          <w:szCs w:val="32"/>
        </w:rPr>
      </w:pPr>
      <w:r>
        <w:rPr>
          <w:rFonts w:hint="eastAsia" w:ascii="黑体" w:hAnsi="黑体" w:eastAsia="黑体"/>
          <w:sz w:val="32"/>
          <w:szCs w:val="32"/>
        </w:rPr>
        <w:t>六、违约责任</w:t>
      </w:r>
    </w:p>
    <w:p w14:paraId="2DB236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甲方未按本协议规定支付委托费用的，乙方有权终止受托工作。</w:t>
      </w:r>
    </w:p>
    <w:p w14:paraId="79C9C883">
      <w:pPr>
        <w:spacing w:line="56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乙方未按协议规定完成受托工作的，甲方可视具体情况扣减部分或拒付全部费用。</w:t>
      </w:r>
      <w:r>
        <w:rPr>
          <w:rFonts w:hint="eastAsia" w:ascii="仿宋" w:hAnsi="仿宋" w:eastAsia="仿宋" w:cs="仿宋_GB2312"/>
          <w:sz w:val="32"/>
          <w:szCs w:val="32"/>
        </w:rPr>
        <w:t>乙方未按协议规定时间提交工作成果的，每逾期一天应支付甲方合同总价款1%的违约金，逾期超过30天的甲方有权单方解除本合同，乙方应承担违约责任。</w:t>
      </w:r>
    </w:p>
    <w:p w14:paraId="37E6EB7E">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乙方若提交的绩效报告质量较差的，应当返工重新开展相关工作，提交符合约定要求的工作成果，返工的费用由乙方自行承担。</w:t>
      </w:r>
    </w:p>
    <w:p w14:paraId="51351BA8">
      <w:pPr>
        <w:spacing w:line="560" w:lineRule="exact"/>
        <w:ind w:firstLine="640" w:firstLineChars="200"/>
        <w:rPr>
          <w:rFonts w:ascii="黑体" w:hAnsi="黑体" w:eastAsia="黑体"/>
          <w:sz w:val="32"/>
          <w:szCs w:val="32"/>
        </w:rPr>
      </w:pPr>
      <w:r>
        <w:rPr>
          <w:rFonts w:hint="eastAsia" w:ascii="黑体" w:hAnsi="黑体" w:eastAsia="黑体"/>
          <w:sz w:val="32"/>
          <w:szCs w:val="32"/>
        </w:rPr>
        <w:t>七、争议的解决</w:t>
      </w:r>
    </w:p>
    <w:p w14:paraId="2BB9BC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委托第三方开展预算绩效管理相关工作中，对于本协议未约定的其他事项，甲、乙双方都应本着友善的态度，协商解决；协商不成的按照《中华人民共和国合同法》有关规定办理。</w:t>
      </w:r>
    </w:p>
    <w:p w14:paraId="1E6449DC">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八、</w:t>
      </w:r>
      <w:r>
        <w:rPr>
          <w:rFonts w:hint="eastAsia" w:ascii="仿宋_GB2312" w:hAnsi="仿宋_GB2312" w:eastAsia="仿宋_GB2312" w:cs="仿宋_GB2312"/>
          <w:sz w:val="32"/>
          <w:szCs w:val="32"/>
        </w:rPr>
        <w:t>本协议经双方负责人签章后生效，协议规定事项完成后自动终止。</w:t>
      </w:r>
    </w:p>
    <w:p w14:paraId="28392561">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九、</w:t>
      </w:r>
      <w:r>
        <w:rPr>
          <w:rFonts w:hint="eastAsia" w:ascii="仿宋_GB2312" w:hAnsi="仿宋_GB2312" w:eastAsia="仿宋_GB2312" w:cs="仿宋_GB2312"/>
          <w:sz w:val="32"/>
          <w:szCs w:val="32"/>
        </w:rPr>
        <w:t>本协议一式四份，甲、乙双方各执两份。</w:t>
      </w:r>
    </w:p>
    <w:p w14:paraId="62DB5908">
      <w:pPr>
        <w:spacing w:line="560" w:lineRule="exact"/>
        <w:rPr>
          <w:rFonts w:ascii="仿宋_GB2312" w:hAnsi="仿宋_GB2312" w:eastAsia="仿宋_GB2312" w:cs="仿宋_GB2312"/>
          <w:sz w:val="32"/>
          <w:szCs w:val="32"/>
        </w:rPr>
      </w:pPr>
    </w:p>
    <w:p w14:paraId="5F6F902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14:paraId="57199D4D">
      <w:pPr>
        <w:spacing w:line="560" w:lineRule="exact"/>
        <w:rPr>
          <w:rFonts w:ascii="仿宋_GB2312" w:hAnsi="仿宋_GB2312" w:eastAsia="仿宋_GB2312" w:cs="仿宋_GB2312"/>
          <w:sz w:val="32"/>
          <w:szCs w:val="32"/>
        </w:rPr>
      </w:pPr>
    </w:p>
    <w:p w14:paraId="4AC15B6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代表人：（签字）              代表人：（签字）</w:t>
      </w:r>
    </w:p>
    <w:p w14:paraId="17FD26BD">
      <w:pPr>
        <w:spacing w:line="560" w:lineRule="exact"/>
        <w:rPr>
          <w:rFonts w:ascii="仿宋_GB2312" w:hAnsi="仿宋_GB2312" w:eastAsia="仿宋_GB2312" w:cs="仿宋_GB2312"/>
          <w:sz w:val="32"/>
          <w:szCs w:val="32"/>
        </w:rPr>
      </w:pPr>
    </w:p>
    <w:p w14:paraId="32CC55E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       签约时间：   年   月   日</w:t>
      </w:r>
    </w:p>
    <w:p w14:paraId="1DBA3DE6">
      <w:pPr>
        <w:rPr>
          <w:rFonts w:ascii="仿宋_GB2312" w:hAnsi="仿宋_GB2312" w:eastAsia="仿宋_GB2312" w:cs="仿宋_GB2312"/>
          <w:sz w:val="32"/>
          <w:szCs w:val="32"/>
        </w:rPr>
      </w:pPr>
    </w:p>
    <w:p w14:paraId="398E7237">
      <w:pPr>
        <w:rPr>
          <w:rFonts w:ascii="仿宋_GB2312" w:hAnsi="仿宋_GB2312" w:eastAsia="仿宋_GB2312" w:cs="仿宋_GB2312"/>
          <w:sz w:val="32"/>
          <w:szCs w:val="32"/>
        </w:rPr>
      </w:pPr>
    </w:p>
    <w:p w14:paraId="01C21F60">
      <w:pPr>
        <w:rPr>
          <w:rFonts w:ascii="仿宋_GB2312" w:hAnsi="仿宋_GB2312" w:eastAsia="仿宋_GB2312" w:cs="仿宋_GB2312"/>
          <w:sz w:val="32"/>
          <w:szCs w:val="32"/>
        </w:rPr>
      </w:pPr>
    </w:p>
    <w:p w14:paraId="72DF4B33">
      <w:pPr>
        <w:rPr>
          <w:rFonts w:ascii="仿宋_GB2312" w:hAnsi="仿宋_GB2312" w:eastAsia="仿宋_GB2312" w:cs="仿宋_GB2312"/>
          <w:sz w:val="32"/>
          <w:szCs w:val="32"/>
        </w:rPr>
      </w:pPr>
    </w:p>
    <w:p w14:paraId="12743256">
      <w:pPr>
        <w:rPr>
          <w:rFonts w:ascii="仿宋_GB2312" w:hAnsi="仿宋_GB2312" w:eastAsia="仿宋_GB2312" w:cs="仿宋_GB2312"/>
          <w:sz w:val="32"/>
          <w:szCs w:val="32"/>
        </w:rPr>
      </w:pPr>
    </w:p>
    <w:p w14:paraId="292FD97F">
      <w:pPr>
        <w:rPr>
          <w:rFonts w:ascii="仿宋_GB2312" w:hAnsi="仿宋_GB2312" w:eastAsia="仿宋_GB2312" w:cs="仿宋_GB2312"/>
          <w:sz w:val="32"/>
          <w:szCs w:val="32"/>
        </w:rPr>
      </w:pPr>
    </w:p>
    <w:p w14:paraId="70A7146A">
      <w:pPr>
        <w:rPr>
          <w:rFonts w:ascii="仿宋_GB2312" w:hAnsi="仿宋_GB2312" w:eastAsia="仿宋_GB2312" w:cs="仿宋_GB2312"/>
          <w:sz w:val="32"/>
          <w:szCs w:val="32"/>
        </w:rPr>
      </w:pPr>
    </w:p>
    <w:p w14:paraId="67948D46">
      <w:pPr>
        <w:tabs>
          <w:tab w:val="left" w:pos="1104"/>
        </w:tabs>
        <w:rPr>
          <w:sz w:val="32"/>
          <w:szCs w:val="32"/>
        </w:rPr>
      </w:pPr>
    </w:p>
    <w:p w14:paraId="0ECBA430">
      <w:pPr>
        <w:tabs>
          <w:tab w:val="left" w:pos="1104"/>
        </w:tabs>
        <w:rPr>
          <w:sz w:val="32"/>
          <w:szCs w:val="32"/>
        </w:rPr>
      </w:pPr>
    </w:p>
    <w:p w14:paraId="32065611">
      <w:pPr>
        <w:tabs>
          <w:tab w:val="left" w:pos="1104"/>
        </w:tabs>
        <w:rPr>
          <w:sz w:val="32"/>
          <w:szCs w:val="32"/>
        </w:rPr>
      </w:pPr>
    </w:p>
    <w:p w14:paraId="45AD0F53">
      <w:pPr>
        <w:tabs>
          <w:tab w:val="left" w:pos="1104"/>
        </w:tabs>
        <w:rPr>
          <w:rFonts w:ascii="仿宋_GB2312" w:hAnsi="仿宋_GB2312" w:eastAsia="仿宋_GB2312" w:cs="仿宋_GB2312"/>
          <w:sz w:val="32"/>
          <w:szCs w:val="32"/>
        </w:rPr>
      </w:pPr>
      <w:r>
        <w:rPr>
          <w:rFonts w:hint="eastAsia" w:ascii="黑体" w:hAnsi="黑体" w:eastAsia="黑体" w:cs="黑体"/>
          <w:sz w:val="32"/>
          <w:szCs w:val="32"/>
        </w:rPr>
        <w:t>信息公开选项：</w:t>
      </w:r>
      <w:r>
        <w:rPr>
          <w:rFonts w:hint="eastAsia" w:ascii="仿宋_GB2312" w:hAnsi="仿宋_GB2312" w:eastAsia="仿宋_GB2312" w:cs="仿宋_GB2312"/>
          <w:sz w:val="32"/>
          <w:szCs w:val="32"/>
        </w:rPr>
        <w:t>依申请公开</w:t>
      </w:r>
    </w:p>
    <w:p w14:paraId="70458DBB">
      <w:bookmarkStart w:id="0" w:name="_GoBack"/>
      <w:bookmarkEnd w:id="0"/>
    </w:p>
    <w:sectPr>
      <w:footerReference r:id="rId3" w:type="default"/>
      <w:pgSz w:w="11906" w:h="16838"/>
      <w:pgMar w:top="1587" w:right="1587"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DE2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B87F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9FB87F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5C4F1"/>
    <w:multiLevelType w:val="singleLevel"/>
    <w:tmpl w:val="DB55C4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62067"/>
    <w:rsid w:val="5B36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rFonts w:ascii="Calibri" w:hAnsi="Calibri" w:eastAsia="宋体" w:cs="Calibri"/>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2025-01-14T07:51:00Z</dcterms:created>
  <dc:creator>李成</dc:creator>
  <cp:lastModifiedBy>李成</cp:lastModifiedBy>
  <dcterms:modified xsi:type="dcterms:W3CDTF">2025-01-14T07:51:37Z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10AC47C58D5E42BFB41B9CBDA502C487_11</vt:lpwstr>
  </property>
  <property fmtid="{D5CDD505-2E9C-101B-9397-08002B2CF9AE}" pid="4" name="KSOTemplateDocerSaveRecord">
    <vt:lpwstr>eyJoZGlkIjoiMTdjNDM0YmQ0MGE3NzZjMjJhZmYzNmQ4MTA3MTZlZmMiLCJ1c2VySWQiOiIyMzY2OTg3OTIifQ==</vt:lpwstr>
  </property>
</Properties>
</file>