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color w:val="000000" w:themeColor="text1"/>
          <w14:textFill>
            <w14:solidFill>
              <w14:schemeClr w14:val="tx1"/>
            </w14:solidFill>
          </w14:textFill>
        </w:rPr>
      </w:pPr>
      <w:bookmarkStart w:id="2" w:name="_GoBack"/>
      <w:bookmarkEnd w:id="2"/>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spacing w:line="1400" w:lineRule="exact"/>
        <w:ind w:firstLine="77" w:firstLineChars="8"/>
        <w:jc w:val="center"/>
        <w:rPr>
          <w:rFonts w:ascii="方正小标宋简体" w:eastAsia="方正小标宋简体"/>
          <w:color w:val="FF0000"/>
          <w:w w:val="78"/>
          <w:sz w:val="124"/>
          <w:szCs w:val="124"/>
        </w:rPr>
      </w:pPr>
      <w:r>
        <w:rPr>
          <w:rFonts w:hint="eastAsia" w:ascii="方正小标宋简体" w:eastAsia="方正小标宋简体"/>
          <w:color w:val="FF0000"/>
          <w:w w:val="78"/>
          <w:sz w:val="124"/>
          <w:szCs w:val="124"/>
        </w:rPr>
        <w:t>湖北省财政厅文件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240" w:lineRule="exact"/>
        <w:rPr>
          <w:color w:val="000000" w:themeColor="text1"/>
          <w14:textFill>
            <w14:solidFill>
              <w14:schemeClr w14:val="tx1"/>
            </w14:solidFill>
          </w14:textFill>
        </w:rPr>
      </w:pPr>
    </w:p>
    <w:p>
      <w:pPr>
        <w:spacing w:line="360" w:lineRule="exact"/>
        <w:rPr>
          <w:color w:val="000000" w:themeColor="text1"/>
          <w14:textFill>
            <w14:solidFill>
              <w14:schemeClr w14:val="tx1"/>
            </w14:solidFill>
          </w14:textFill>
        </w:rPr>
      </w:pPr>
    </w:p>
    <w:p>
      <w:pPr>
        <w:snapToGrid w:val="0"/>
        <w:spacing w:after="156" w:afterLines="50"/>
        <w:ind w:firstLine="320" w:firstLineChars="100"/>
        <w:jc w:val="center"/>
        <w:rPr>
          <w:rFonts w:ascii="仿宋_GB2312" w:hAnsi="仿宋" w:eastAsia="仿宋_GB2312"/>
          <w:color w:val="000000" w:themeColor="text1"/>
          <w:sz w:val="32"/>
          <w:szCs w:val="32"/>
          <w14:textFill>
            <w14:solidFill>
              <w14:schemeClr w14:val="tx1"/>
            </w14:solidFill>
          </w14:textFill>
        </w:rPr>
      </w:pPr>
      <w:r>
        <w:rPr>
          <w:rFonts w:hint="eastAsia" w:ascii="仿宋_GB2312" w:hAnsi="楷体_GB2312" w:eastAsia="仿宋_GB2312" w:cs="楷体_GB2312"/>
          <w:sz w:val="32"/>
          <w:szCs w:val="32"/>
        </w:rPr>
        <w:t>鄂财采规〔2022〕1号</w:t>
      </w:r>
    </w:p>
    <w:p>
      <w:pPr>
        <w:rPr>
          <w:rFonts w:ascii="仿宋_GB2312"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48"/>
          <w:szCs w:val="32"/>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margin">
                  <wp:posOffset>-85725</wp:posOffset>
                </wp:positionH>
                <wp:positionV relativeFrom="paragraph">
                  <wp:posOffset>41910</wp:posOffset>
                </wp:positionV>
                <wp:extent cx="5759450" cy="0"/>
                <wp:effectExtent l="0" t="19050" r="31750" b="19050"/>
                <wp:wrapNone/>
                <wp:docPr id="3" name="直接连接符 3"/>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75pt;margin-top:3.3pt;height:0pt;width:453.5pt;mso-position-horizontal-relative:margin;z-index:251657216;mso-width-relative:page;mso-height-relative:page;" filled="f" stroked="t" coordsize="21600,21600" o:gfxdata="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xse31wAAAAcBAAAPAAAAAAAAAAEAIAAAACIAAABkcnMvZG93bnJldi54bWxQ&#10;SwECFAAUAAAACACHTuJA9I2+R78BAABNAwAADgAAAAAAAAABACAAAAAmAQAAZHJzL2Uyb0RvYy54&#10;bWxQSwUGAAAAAAYABgBZAQAAVwUAAAAA&#10;">
                <v:fill on="f" focussize="0,0"/>
                <v:stroke weight="3pt" color="#FF0000 [3204]" joinstyle="round"/>
                <v:imagedata o:title=""/>
                <o:lock v:ext="edit" aspectratio="f"/>
              </v:line>
            </w:pict>
          </mc:Fallback>
        </mc:AlternateContent>
      </w:r>
    </w:p>
    <w:p>
      <w:pPr>
        <w:snapToGrid w:val="0"/>
      </w:pP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省财政厅关于印发《湖北省政府采购评审</w:t>
      </w:r>
      <w:r>
        <w:rPr>
          <w:rFonts w:ascii="方正小标宋_GBK" w:hAnsi="方正小标宋_GBK" w:eastAsia="方正小标宋_GBK" w:cs="方正小标宋_GBK"/>
          <w:sz w:val="44"/>
          <w:szCs w:val="44"/>
        </w:rPr>
        <w:br w:type="textWrapping"/>
      </w:r>
      <w:r>
        <w:rPr>
          <w:rFonts w:hint="eastAsia" w:ascii="方正小标宋_GBK" w:hAnsi="方正小标宋_GBK" w:eastAsia="方正小标宋_GBK" w:cs="方正小标宋_GBK"/>
          <w:sz w:val="44"/>
          <w:szCs w:val="44"/>
        </w:rPr>
        <w:t>专家管理实施办法》的通知</w:t>
      </w:r>
    </w:p>
    <w:p>
      <w:pPr>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各市、州、直管市、林区、县（市、区）财政局，省直各单位，各政府采购代理机构，各政府采购评审专家：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现将《湖北省政府采购评审专家管理实施办法》印发你们，请遵照执行。</w:t>
      </w:r>
    </w:p>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附件：湖北省政府采购评审专家管理实施办法</w:t>
      </w:r>
    </w:p>
    <w:p>
      <w:pPr>
        <w:rPr>
          <w:rFonts w:ascii="仿宋_GB2312" w:eastAsia="仿宋_GB2312"/>
          <w:color w:val="000000"/>
          <w:sz w:val="32"/>
          <w:szCs w:val="32"/>
        </w:rPr>
      </w:pPr>
    </w:p>
    <w:p>
      <w:pPr>
        <w:snapToGrid w:val="0"/>
        <w:rPr>
          <w:rFonts w:ascii="仿宋_GB2312" w:eastAsia="仿宋_GB2312"/>
          <w:color w:val="000000"/>
          <w:sz w:val="32"/>
          <w:szCs w:val="32"/>
        </w:rPr>
      </w:pPr>
    </w:p>
    <w:p>
      <w:pPr>
        <w:ind w:firstLine="640" w:firstLineChars="200"/>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 xml:space="preserve">                    </w:t>
      </w: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 xml:space="preserve"> </w:t>
      </w:r>
      <w:r>
        <w:rPr>
          <w:rFonts w:ascii="仿宋_GB2312" w:hAnsi="Times New Roman" w:eastAsia="仿宋_GB2312" w:cs="仿宋_GB2312"/>
          <w:color w:val="000000" w:themeColor="text1"/>
          <w:sz w:val="32"/>
          <w:szCs w:val="32"/>
          <w14:textFill>
            <w14:solidFill>
              <w14:schemeClr w14:val="tx1"/>
            </w14:solidFill>
          </w14:textFill>
        </w:rPr>
        <w:tab/>
      </w:r>
      <w:r>
        <w:rPr>
          <w:rFonts w:ascii="仿宋_GB2312" w:hAnsi="Times New Roman" w:eastAsia="仿宋_GB2312" w:cs="仿宋_GB2312"/>
          <w:color w:val="000000" w:themeColor="text1"/>
          <w:sz w:val="32"/>
          <w:szCs w:val="32"/>
          <w14:textFill>
            <w14:solidFill>
              <w14:schemeClr w14:val="tx1"/>
            </w14:solidFill>
          </w14:textFill>
        </w:rPr>
        <w:tab/>
      </w: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湖北省财政厅</w:t>
      </w:r>
    </w:p>
    <w:p>
      <w:pPr>
        <w:snapToGrid w:val="0"/>
        <w:ind w:firstLine="640" w:firstLineChars="200"/>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 xml:space="preserve">                      </w:t>
      </w:r>
      <w:r>
        <w:rPr>
          <w:rFonts w:ascii="仿宋_GB2312" w:hAnsi="Times New Roman" w:eastAsia="仿宋_GB2312" w:cs="仿宋_GB2312"/>
          <w:color w:val="000000" w:themeColor="text1"/>
          <w:sz w:val="32"/>
          <w:szCs w:val="32"/>
          <w14:textFill>
            <w14:solidFill>
              <w14:schemeClr w14:val="tx1"/>
            </w14:solidFill>
          </w14:textFill>
        </w:rPr>
        <w:tab/>
      </w:r>
      <w:r>
        <w:rPr>
          <w:rFonts w:ascii="仿宋_GB2312" w:hAnsi="Times New Roman" w:eastAsia="仿宋_GB2312" w:cs="仿宋_GB2312"/>
          <w:color w:val="000000" w:themeColor="text1"/>
          <w:sz w:val="32"/>
          <w:szCs w:val="32"/>
          <w14:textFill>
            <w14:solidFill>
              <w14:schemeClr w14:val="tx1"/>
            </w14:solidFill>
          </w14:textFill>
        </w:rPr>
        <w:tab/>
      </w:r>
      <w:r>
        <w:rPr>
          <w:rFonts w:hint="eastAsia" w:ascii="仿宋_GB2312" w:hAnsi="Times New Roman" w:eastAsia="仿宋_GB2312" w:cs="仿宋_GB2312"/>
          <w:color w:val="000000" w:themeColor="text1"/>
          <w:sz w:val="32"/>
          <w:szCs w:val="32"/>
          <w14:textFill>
            <w14:solidFill>
              <w14:schemeClr w14:val="tx1"/>
            </w14:solidFill>
          </w14:textFill>
        </w:rPr>
        <w:t xml:space="preserve"> </w:t>
      </w: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202</w:t>
      </w:r>
      <w:r>
        <w:rPr>
          <w:rFonts w:ascii="仿宋_GB2312" w:hAnsi="Times New Roman" w:eastAsia="仿宋_GB2312" w:cs="仿宋_GB2312"/>
          <w:color w:val="000000" w:themeColor="text1"/>
          <w:sz w:val="32"/>
          <w:szCs w:val="32"/>
          <w14:textFill>
            <w14:solidFill>
              <w14:schemeClr w14:val="tx1"/>
            </w14:solidFill>
          </w14:textFill>
        </w:rPr>
        <w:t>2</w:t>
      </w:r>
      <w:r>
        <w:rPr>
          <w:rFonts w:hint="eastAsia" w:ascii="仿宋_GB2312" w:hAnsi="Times New Roman" w:eastAsia="仿宋_GB2312" w:cs="仿宋_GB2312"/>
          <w:color w:val="000000" w:themeColor="text1"/>
          <w:sz w:val="32"/>
          <w:szCs w:val="32"/>
          <w14:textFill>
            <w14:solidFill>
              <w14:schemeClr w14:val="tx1"/>
            </w14:solidFill>
          </w14:textFill>
        </w:rPr>
        <w:t>年5月</w:t>
      </w:r>
      <w:r>
        <w:rPr>
          <w:rFonts w:ascii="仿宋_GB2312" w:hAnsi="Times New Roman" w:eastAsia="仿宋_GB2312" w:cs="仿宋_GB2312"/>
          <w:color w:val="000000" w:themeColor="text1"/>
          <w:sz w:val="32"/>
          <w:szCs w:val="32"/>
          <w14:textFill>
            <w14:solidFill>
              <w14:schemeClr w14:val="tx1"/>
            </w14:solidFill>
          </w14:textFill>
        </w:rPr>
        <w:t>2</w:t>
      </w:r>
      <w:r>
        <w:rPr>
          <w:rFonts w:hint="eastAsia" w:ascii="仿宋_GB2312" w:hAnsi="Times New Roman" w:eastAsia="仿宋_GB2312" w:cs="仿宋_GB2312"/>
          <w:color w:val="000000" w:themeColor="text1"/>
          <w:sz w:val="32"/>
          <w:szCs w:val="32"/>
          <w14:textFill>
            <w14:solidFill>
              <w14:schemeClr w14:val="tx1"/>
            </w14:solidFill>
          </w14:textFill>
        </w:rPr>
        <w:t>6日</w:t>
      </w:r>
    </w:p>
    <w:p>
      <w:pPr>
        <w:jc w:val="left"/>
        <w:rPr>
          <w:rFonts w:ascii="黑体" w:hAnsi="黑体" w:eastAsia="黑体" w:cs="宋体"/>
          <w:sz w:val="32"/>
          <w:szCs w:val="32"/>
        </w:rPr>
      </w:pPr>
      <w:r>
        <w:rPr>
          <w:rFonts w:hint="eastAsia" w:ascii="黑体" w:hAnsi="黑体" w:eastAsia="黑体" w:cs="宋体"/>
          <w:sz w:val="32"/>
          <w:szCs w:val="32"/>
        </w:rPr>
        <w:t>附件</w:t>
      </w:r>
    </w:p>
    <w:p>
      <w:pPr>
        <w:pStyle w:val="505"/>
        <w:ind w:firstLine="420"/>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湖北省政府采购评审专家管理实施办法</w:t>
      </w:r>
    </w:p>
    <w:p>
      <w:pPr>
        <w:spacing w:line="600" w:lineRule="exact"/>
        <w:jc w:val="center"/>
        <w:rPr>
          <w:rFonts w:ascii="方正小标宋_GBK" w:hAnsi="方正小标宋_GBK" w:eastAsia="方正小标宋_GBK" w:cs="方正小标宋_GBK"/>
          <w:sz w:val="44"/>
          <w:szCs w:val="44"/>
        </w:rPr>
      </w:pPr>
    </w:p>
    <w:p>
      <w:pPr>
        <w:spacing w:before="312" w:beforeLines="100" w:after="312" w:afterLines="100"/>
        <w:jc w:val="center"/>
        <w:rPr>
          <w:rFonts w:ascii="黑体" w:hAnsi="黑体" w:eastAsia="黑体" w:cs="黑体"/>
          <w:sz w:val="32"/>
          <w:szCs w:val="32"/>
        </w:rPr>
      </w:pPr>
      <w:r>
        <w:rPr>
          <w:rFonts w:hint="eastAsia" w:ascii="黑体" w:hAnsi="黑体" w:eastAsia="黑体" w:cs="黑体"/>
          <w:sz w:val="32"/>
          <w:szCs w:val="32"/>
        </w:rPr>
        <w:t>第一章　总　则</w:t>
      </w:r>
    </w:p>
    <w:p>
      <w:pPr>
        <w:spacing w:line="590" w:lineRule="exact"/>
        <w:ind w:firstLine="640" w:firstLineChars="200"/>
        <w:rPr>
          <w:rFonts w:ascii="仿宋_GB2312" w:hAnsi="仿宋_GB2312" w:eastAsia="仿宋_GB2312" w:cs="仿宋_GB2312"/>
          <w:sz w:val="32"/>
          <w:szCs w:val="32"/>
        </w:rPr>
      </w:pPr>
      <w:r>
        <w:rPr>
          <w:rFonts w:ascii="黑体" w:hAnsi="黑体" w:eastAsia="黑体" w:cs="仿宋_GB2312"/>
          <w:bCs/>
          <w:sz w:val="32"/>
          <w:szCs w:val="32"/>
        </w:rPr>
        <w:t>第一条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为进一步加强政府采购评审活动的管理，规范政府采购评审专家（以下简称评审专家）评审行为，根据《中华人民共和国政府采购法》《中华人民共和国政府采购法实施条例》《财政部关于印发〈政府采购评审专家管理办法〉的通知》（财库〔2016〕198号）等法律法规制度的有关规定，结合我省实际制定本办法。 </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本办法所称评审专家，是指经省财政厅选聘，以独立身份参加政府采购评审，纳入湖北省政府采购评审专家管理系统（以下简称评审专家管理系统）管理的人员。评审专家的选聘、解聘、抽取、使用、监督管理适用本办法。 </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 xml:space="preserve">第三条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评审专家的管理，实行统一标准、管用分离、随机抽取、资源共享的原则。 </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省财政厅按照财政部制定的评审专家专业分类标准和评审专家库建设标准建设评审专家库，并实行动态管理。各级财政部门依法履行对评审专家的监督管理职责。</w:t>
      </w:r>
    </w:p>
    <w:p/>
    <w:p>
      <w:pPr>
        <w:snapToGrid w:val="0"/>
      </w:pPr>
    </w:p>
    <w:p>
      <w:pPr>
        <w:spacing w:after="312" w:afterLines="100"/>
        <w:jc w:val="center"/>
        <w:rPr>
          <w:rFonts w:ascii="黑体" w:hAnsi="黑体" w:eastAsia="黑体" w:cs="黑体"/>
          <w:sz w:val="32"/>
          <w:szCs w:val="32"/>
        </w:rPr>
      </w:pPr>
      <w:r>
        <w:rPr>
          <w:rFonts w:hint="eastAsia" w:ascii="黑体" w:hAnsi="黑体" w:eastAsia="黑体" w:cs="黑体"/>
          <w:sz w:val="32"/>
          <w:szCs w:val="32"/>
        </w:rPr>
        <w:t>第二章　评审专家选聘与解聘</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省财政厅通过公开征集、单位推荐和自我推荐相结合的方式选聘评审专家。</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评审专家应当具备以下资格条件：</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具有良好的职业道德，廉洁自律，遵纪守法，无行贿、受贿、欺诈等不良信用记录；</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具有中级专业技术职称或同等专业水平且从事相关领域工作满8年,或者具有高级专业技术职称或同等专业水平；  </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熟悉政府采购相关政策法规；</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承诺以独立身份参加评审工作，依法履行评审专家工作职责并承担相应法律责任的中国公民；</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能够熟练操作使用计算机独立完成评审工作；</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不满70周岁，身体健康，能够承担评审工作； </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申请成为评审专家前三年内，无本办法第三十八、三十九条规定的不良行为记录。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不具备前款第（二）项所列条件，但在相关工作领域有突出的专业能力和特长，且符合评审专家其他资格条款的，经申请人所在地财政部门审查后出具推荐函（见附件1），可选聘成为评审专家；对</w:t>
      </w:r>
      <w:r>
        <w:rPr>
          <w:rFonts w:hint="eastAsia" w:ascii="仿宋_GB2312" w:hAnsi="仿宋_GB2312" w:eastAsia="仿宋_GB2312" w:cs="仿宋_GB2312"/>
          <w:spacing w:val="-2"/>
          <w:sz w:val="32"/>
          <w:szCs w:val="32"/>
        </w:rPr>
        <w:t>评审专家数量较少的专业,</w:t>
      </w:r>
      <w:r>
        <w:rPr>
          <w:rFonts w:hint="eastAsia" w:ascii="仿宋_GB2312" w:hAnsi="仿宋_GB2312" w:eastAsia="仿宋_GB2312" w:cs="仿宋_GB2312"/>
          <w:sz w:val="32"/>
          <w:szCs w:val="32"/>
        </w:rPr>
        <w:t>前款</w:t>
      </w:r>
      <w:r>
        <w:rPr>
          <w:rFonts w:hint="eastAsia" w:ascii="仿宋_GB2312" w:hAnsi="仿宋_GB2312" w:eastAsia="仿宋_GB2312" w:cs="仿宋_GB2312"/>
          <w:spacing w:val="-2"/>
          <w:sz w:val="32"/>
          <w:szCs w:val="32"/>
        </w:rPr>
        <w:t>第（六）项所列条件可适当放宽。</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评审专家实行网上登记注册，申请人通过湖北省政府采购评审专家注册系统</w:t>
      </w:r>
      <w:r>
        <w:rPr>
          <w:rFonts w:hint="eastAsia" w:ascii="仿宋_GB2312" w:hAnsi="宋体" w:eastAsia="仿宋_GB2312" w:cs="宋体"/>
          <w:sz w:val="32"/>
          <w:szCs w:val="32"/>
        </w:rPr>
        <w:t>（www.ccgp-hubei.gov.cn:8030）</w:t>
      </w:r>
      <w:r>
        <w:rPr>
          <w:rFonts w:hint="eastAsia" w:ascii="仿宋_GB2312" w:hAnsi="仿宋_GB2312" w:eastAsia="仿宋_GB2312" w:cs="仿宋_GB2312"/>
          <w:sz w:val="32"/>
          <w:szCs w:val="32"/>
        </w:rPr>
        <w:t>，按照流程填报本人相关信息，上传以下申请材料的原件图片：</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申请人签署的申请书（见附件2）、信用承诺书； </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学历学位证书； </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居民身份证；</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专业技术职称（水平）证书或财政部门推荐函； </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专业技术职称（水平）任职文件或评定结果官方网站查询截图；</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省财政厅要求提交的其他材料。</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申请人应当根据本人职称专业结合长期从事的工作或专长，按照财政部制定的评审专家专业分类标准选择评审专业，三级及以上专业目录不带子目录的不限定专业数量，三级专业目录带子目录的不得超过三种。</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除获得新的专业类别的职称（水平）证书外，评审专家的评审专业不得随意更改。确需更改的，由评审专家本人向省财政厅书面提交申请、新获得的职称（水平）证书等相关支撑材料，经审查确认后调整。</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省财政厅对申请人提交的材料进行网上审查，审查时间原则上不超过5个工作日。经审查符合资格条件的可参加在线培训和考核，考核成绩达到80分（含）以上为合格，自动选聘为评审专家，纳入评审专家库管理。</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专家的聘用期为3年，期满后由财政厅或受财政厅委托的机构统一组织继续教育培训及考核，考核合格后可自动续聘。评审专家应当参加省财政厅根据政府采购相关政策法规立、改、废、释情况适时组织的专题学习培训。</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聘用期满后无故不参加继续教育培训及考核的，或者聘用期间无故不参加专题学习培训的，将暂停参加政府采购评审活动，直至完成必要的学习培训并考核通过后恢复。 </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第十条</w:t>
      </w:r>
      <w:r>
        <w:rPr>
          <w:rFonts w:hint="eastAsia" w:ascii="仿宋_GB2312" w:hAnsi="仿宋_GB2312" w:eastAsia="仿宋_GB2312" w:cs="仿宋_GB2312"/>
          <w:sz w:val="32"/>
          <w:szCs w:val="32"/>
        </w:rPr>
        <w:t xml:space="preserve">  评审专家工作单位、联系方式、评审区域、专业技术职称、需回避的信息等发生变化的，应当及时通过评审专家管理系统向省财政厅提交信息变更申请，其中评审区域原则上每年变更不得超过2次。</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评审专家存在以下情形之一的，省财政厅应当将其解聘： </w:t>
      </w:r>
    </w:p>
    <w:p>
      <w:pPr>
        <w:numPr>
          <w:ilvl w:val="0"/>
          <w:numId w:val="3"/>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本人申请不再担任评审专家； </w:t>
      </w:r>
    </w:p>
    <w:p>
      <w:pPr>
        <w:numPr>
          <w:ilvl w:val="0"/>
          <w:numId w:val="3"/>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连续2年履职评价结果不合格；</w:t>
      </w:r>
    </w:p>
    <w:p>
      <w:pPr>
        <w:numPr>
          <w:ilvl w:val="0"/>
          <w:numId w:val="3"/>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不符合本办法第六条规定条件； </w:t>
      </w:r>
    </w:p>
    <w:p>
      <w:pPr>
        <w:numPr>
          <w:ilvl w:val="0"/>
          <w:numId w:val="3"/>
        </w:numPr>
        <w:spacing w:line="59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存在本办法第三十八、三十九条规定的不良行为记录</w:t>
      </w:r>
      <w:r>
        <w:rPr>
          <w:rFonts w:hint="eastAsia" w:ascii="仿宋_GB2312" w:hAnsi="仿宋_GB2312" w:eastAsia="仿宋_GB2312" w:cs="仿宋_GB2312"/>
          <w:sz w:val="32"/>
          <w:szCs w:val="32"/>
        </w:rPr>
        <w:t>；</w:t>
      </w:r>
    </w:p>
    <w:p>
      <w:pPr>
        <w:numPr>
          <w:ilvl w:val="0"/>
          <w:numId w:val="3"/>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受到刑事处罚。</w:t>
      </w:r>
    </w:p>
    <w:p>
      <w:pPr>
        <w:spacing w:before="296" w:beforeLines="95" w:after="296" w:afterLines="95"/>
        <w:jc w:val="center"/>
        <w:rPr>
          <w:rFonts w:ascii="黑体" w:hAnsi="黑体" w:eastAsia="黑体" w:cs="黑体"/>
          <w:sz w:val="32"/>
          <w:szCs w:val="32"/>
        </w:rPr>
      </w:pPr>
      <w:r>
        <w:rPr>
          <w:rFonts w:hint="eastAsia" w:ascii="黑体" w:hAnsi="黑体" w:eastAsia="黑体" w:cs="黑体"/>
          <w:sz w:val="32"/>
          <w:szCs w:val="32"/>
        </w:rPr>
        <w:t>第三章　评审专家抽取与使用</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 xml:space="preserve">第十二条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评审专家管理系统设管理权限账号和使用权限账号。</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各级财政部门的管理权限账号和社会采购代理机构的使用权限账号由省财政厅核发；采购人、集中采购机构的使用权限账号由同级财政部门汇总向省财政厅提出书面申请后核发。</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采购人或者采购代理机构应当在评审活动开始前，根据采购项目实际需求，合理选择评审专家的专业类别，依法确定参加评审的专家数量，从省财政厅设立的评审专家库中随机抽取评审专家。</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 xml:space="preserve">第十四条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技术复杂、专业性强的采购项目，通过随机方式难以确定合适评审专家的，经主管预算单位同意，采购人可自行在评审专家库内选定相应专业领域的评审专家。</w:t>
      </w:r>
    </w:p>
    <w:p>
      <w:pPr>
        <w:spacing w:line="59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省属高校、科研院所分散采购仪器设备或采购集中采购目录内的项目，可在评审专家库外自行选定评审专家。自行选定评审专家，应当优先选择本单位以外的评审专家。</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除采用非招标方式和需异地评审的政府采购项目外，采购人或者采购代理机构抽取评审专家时间不得早于评审活动开始前2个工作日。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采用招标方式采购的项目，评审专家原则上当天抽取当天使用。在武汉市评审的应当于评审活动开始前至少提前2小时抽取，其他地区应当于评审活动开始前至少提前1小时抽取。</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评审专家通过本人手机接收评审专家管理系统自动拨打的语音电话和短信息通知，自愿选择是否参加评审活动。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已经选择同意参加评审活动的评审专家不得随意迟到或缺席，确因故不能到场的，在武汉市参加评审的应当至少在评审活动开始前1小时，其他地区应当至少提前0.5小时联系采购人或采购代理机构并说明原因。</w:t>
      </w:r>
    </w:p>
    <w:p>
      <w:pPr>
        <w:spacing w:line="590" w:lineRule="exact"/>
        <w:ind w:firstLine="640" w:firstLineChars="200"/>
        <w:rPr>
          <w:rFonts w:ascii="仿宋_GB2312" w:hAnsi="仿宋_GB2312" w:eastAsia="仿宋_GB2312" w:cs="仿宋_GB2312"/>
          <w:sz w:val="32"/>
          <w:szCs w:val="32"/>
        </w:rPr>
      </w:pPr>
      <w:r>
        <w:rPr>
          <w:rStyle w:val="503"/>
          <w:rFonts w:hint="eastAsia" w:hAnsi="黑体" w:cs="仿宋_GB2312"/>
          <w:bCs/>
          <w:sz w:val="32"/>
          <w:szCs w:val="32"/>
        </w:rPr>
        <w:t>第十七条</w:t>
      </w:r>
      <w:r>
        <w:rPr>
          <w:rFonts w:hint="eastAsia" w:ascii="仿宋_GB2312" w:hAnsi="仿宋_GB2312" w:eastAsia="仿宋_GB2312" w:cs="仿宋_GB2312"/>
          <w:sz w:val="32"/>
          <w:szCs w:val="32"/>
        </w:rPr>
        <w:t xml:space="preserve">  采购人或者采购代理机构应当在评审活动开始前宣布评审工作纪律,并将记载评审工作纪律的书面文件作为采购文件一并存档。</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评审专家与参加采购活动的供应商存在下列利害关系之一的，应当回避： </w:t>
      </w:r>
    </w:p>
    <w:p>
      <w:pPr>
        <w:numPr>
          <w:ilvl w:val="0"/>
          <w:numId w:val="4"/>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参加采购活动前三年内，与供应商存在劳动关系，或者担任过供应商的董事、监事，或者是供应商的控股股东或实际控制人； </w:t>
      </w:r>
    </w:p>
    <w:p>
      <w:pPr>
        <w:numPr>
          <w:ilvl w:val="0"/>
          <w:numId w:val="4"/>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与供应商的法定代表人或者负责人有夫妻、直系血亲、三代以内旁系血亲或者近姻亲关系； </w:t>
      </w:r>
    </w:p>
    <w:p>
      <w:pPr>
        <w:numPr>
          <w:ilvl w:val="0"/>
          <w:numId w:val="4"/>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与供应商有其他可能影响政府采购活动公平、公正进行的关系。</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评审专家发现本人与参加采购活动的供应商有利害关系的，应当主动提出回避。采购人、采购代理机构发现评审专家与参加采购活动的供应商有利害关系，或者已参加过项目前期论证、采购计划审查、采购需求制定、进口产品论证等活动，应当要求其回避。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除本办法第十四条规定的情形外，评审专家对本单位的政府采购项目只能作为采购人代表参与评审活动。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各级财政部门政府采购监督管理工作人员，不得作为评审专家参与政府采购项目的评审活动。采购代理机构工作人员不得参加本机构代理的政府采购项目的评审。</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采购人应当委派熟悉采购需求和政府采购相关法律法规的本单位人员或委托相关专业人员作为采购人代表参加评审活动。</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谈判小组、询价小组或磋商小组进行评审。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 xml:space="preserve">第二十一条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评审专家名单在评审结果公告前应当保密。评审活动完成后，采购人或者采购代理机构应当随中标、成交结果一并公告评审专家名单，并对自行选定的评审专家做出标注。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各级财政部门、采购人和采购代理机构有关工作人员不得泄露评审专家的个人信息。 </w:t>
      </w:r>
    </w:p>
    <w:p>
      <w:pPr>
        <w:spacing w:before="296" w:beforeLines="95" w:after="296" w:afterLines="95"/>
        <w:jc w:val="center"/>
        <w:rPr>
          <w:rFonts w:ascii="黑体" w:hAnsi="黑体" w:eastAsia="黑体" w:cs="黑体"/>
          <w:sz w:val="32"/>
          <w:szCs w:val="32"/>
        </w:rPr>
      </w:pPr>
      <w:r>
        <w:rPr>
          <w:rFonts w:hint="eastAsia" w:ascii="黑体" w:hAnsi="黑体" w:eastAsia="黑体" w:cs="黑体"/>
          <w:sz w:val="32"/>
          <w:szCs w:val="32"/>
        </w:rPr>
        <w:t>第四章　评审专家权利与义务</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评审专家在评审活动中享有以下权利： </w:t>
      </w:r>
    </w:p>
    <w:p>
      <w:pPr>
        <w:numPr>
          <w:ilvl w:val="0"/>
          <w:numId w:val="5"/>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对应邀参加评审的政府采购项目的独立评审权； </w:t>
      </w:r>
    </w:p>
    <w:p>
      <w:pPr>
        <w:numPr>
          <w:ilvl w:val="0"/>
          <w:numId w:val="5"/>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推荐中标、成交候选供应商的表决权； </w:t>
      </w:r>
    </w:p>
    <w:p>
      <w:pPr>
        <w:numPr>
          <w:ilvl w:val="0"/>
          <w:numId w:val="5"/>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对本人履职评价结果的知情权和申诉权； </w:t>
      </w:r>
    </w:p>
    <w:p>
      <w:pPr>
        <w:numPr>
          <w:ilvl w:val="0"/>
          <w:numId w:val="5"/>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获得参加评审劳务报酬的权利；</w:t>
      </w:r>
    </w:p>
    <w:p>
      <w:pPr>
        <w:numPr>
          <w:ilvl w:val="0"/>
          <w:numId w:val="5"/>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法律法规和有关规定明确的其他权利。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第二十三条</w:t>
      </w:r>
      <w:r>
        <w:rPr>
          <w:rStyle w:val="503"/>
          <w:rFonts w:hint="eastAsia" w:hAnsi="黑体"/>
          <w:bCs/>
          <w:sz w:val="32"/>
          <w:szCs w:val="32"/>
        </w:rPr>
        <w:t xml:space="preserve"> </w:t>
      </w:r>
      <w:r>
        <w:rPr>
          <w:rFonts w:hint="eastAsia" w:ascii="仿宋_GB2312" w:hAnsi="仿宋_GB2312" w:eastAsia="仿宋_GB2312" w:cs="仿宋_GB2312"/>
          <w:sz w:val="32"/>
          <w:szCs w:val="32"/>
        </w:rPr>
        <w:t xml:space="preserve"> 评审专家在评审活动中应当履行以下义务：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严格遵守评审工作纪律，按照客观、公正、审慎的原则，根据采购文件规定的评审程序、评审方法和评审标准进行独立评审；</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发现采购文件内容违反国家有关强制性规定或者采购文件存在歧义、重大缺陷导致评审工作无法进行时，立即停止评审并向采购人或者采购代理机构书面说明情况</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 xml:space="preserve">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积极配合答复供应商的询问、质疑和投诉等事项，不泄露评审文件、评审情况和在评审过程中获悉的商业秘密；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发现供应商具有行贿、提供虚假材料或者串通等违法行为，或者在评审过程中受到非法干预的，及时向项目同级财政部门举报；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在评审报告上签字,对本人的评审意见承担法律责任；</w:t>
      </w:r>
      <w:r>
        <w:rPr>
          <w:rFonts w:hint="eastAsia" w:ascii="仿宋_GB2312" w:hAnsi="仿宋_GB2312" w:eastAsia="仿宋_GB2312" w:cs="仿宋_GB2312"/>
          <w:spacing w:val="-2"/>
          <w:sz w:val="32"/>
          <w:szCs w:val="32"/>
        </w:rPr>
        <w:t>对需要共同认定的事项存在争议的,按照少数服从多数的原则做出结论；对评审报告有异议的,应当在评审报告上签署不同意见并说明理由,否则视为同意评审报告</w:t>
      </w:r>
      <w:r>
        <w:rPr>
          <w:rFonts w:hint="eastAsia" w:ascii="仿宋_GB2312" w:hAnsi="仿宋_GB2312" w:eastAsia="仿宋_GB2312" w:cs="仿宋_GB2312"/>
          <w:sz w:val="32"/>
          <w:szCs w:val="32"/>
        </w:rPr>
        <w:t xml:space="preserve">；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评审活动结束后5个工作日内，在评审专家管理系统中客观、公正地评价采购代理机构的职责履行情况； </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积极参加财政部门组织的政府采购业务培训，及时了解和掌握政府采购法律法规和政策文件，不断提升履职能力；</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发现本人与供应商存在利害关系应当主动回避；</w:t>
      </w:r>
    </w:p>
    <w:p>
      <w:pPr>
        <w:numPr>
          <w:ilvl w:val="0"/>
          <w:numId w:val="6"/>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法律法规和有关规定明确的其他义务。</w:t>
      </w:r>
    </w:p>
    <w:p>
      <w:pPr>
        <w:spacing w:before="296" w:beforeLines="95" w:after="296" w:afterLines="95"/>
        <w:jc w:val="center"/>
        <w:rPr>
          <w:rFonts w:ascii="黑体" w:hAnsi="黑体" w:eastAsia="黑体" w:cs="黑体"/>
          <w:sz w:val="32"/>
          <w:szCs w:val="32"/>
        </w:rPr>
      </w:pPr>
      <w:r>
        <w:rPr>
          <w:rFonts w:hint="eastAsia" w:ascii="黑体" w:hAnsi="黑体" w:eastAsia="黑体" w:cs="黑体"/>
          <w:sz w:val="32"/>
          <w:szCs w:val="32"/>
        </w:rPr>
        <w:t>第五章  评审专家劳务报酬</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第二十四条</w:t>
      </w:r>
      <w:r>
        <w:rPr>
          <w:rFonts w:hint="eastAsia" w:ascii="仿宋_GB2312" w:hAnsi="仿宋_GB2312" w:eastAsia="仿宋_GB2312" w:cs="仿宋_GB2312"/>
          <w:sz w:val="32"/>
          <w:szCs w:val="32"/>
        </w:rPr>
        <w:t xml:space="preserve">  属于集中采购目录内的项目，由</w:t>
      </w:r>
      <w:r>
        <w:fldChar w:fldCharType="begin"/>
      </w:r>
      <w:r>
        <w:instrText xml:space="preserve"> HYPERLINK "http://lilun.caigou2003.com/recijiedu/2067761.html" \t "http://www.ccgp-hubei.gov.cn/news/201704/_blank" </w:instrText>
      </w:r>
      <w:r>
        <w:fldChar w:fldCharType="separate"/>
      </w:r>
      <w:r>
        <w:rPr>
          <w:rFonts w:hint="eastAsia" w:ascii="仿宋_GB2312" w:hAnsi="仿宋_GB2312" w:eastAsia="仿宋_GB2312" w:cs="仿宋_GB2312"/>
          <w:sz w:val="32"/>
          <w:szCs w:val="32"/>
        </w:rPr>
        <w:t>集中采购</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机构支付评审专家劳务报酬，</w:t>
      </w:r>
      <w:r>
        <w:fldChar w:fldCharType="begin"/>
      </w:r>
      <w:r>
        <w:instrText xml:space="preserve"> HYPERLINK "http://lilun.caigou2003.com/recijiedu/2015766.html" \t "http://www.ccgp-hubei.gov.cn/news/201704/_blank" </w:instrText>
      </w:r>
      <w:r>
        <w:fldChar w:fldCharType="separate"/>
      </w:r>
      <w:r>
        <w:rPr>
          <w:rFonts w:hint="eastAsia" w:ascii="仿宋_GB2312" w:hAnsi="仿宋_GB2312" w:eastAsia="仿宋_GB2312" w:cs="仿宋_GB2312"/>
          <w:sz w:val="32"/>
          <w:szCs w:val="32"/>
        </w:rPr>
        <w:t>集中采购目录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外的项目，由</w:t>
      </w:r>
      <w:r>
        <w:fldChar w:fldCharType="begin"/>
      </w:r>
      <w:r>
        <w:instrText xml:space="preserve"> HYPERLINK "http://lilun.caigou2003.com/recijiedu/2365795.html" \t "http://www.ccgp-hubei.gov.cn/news/201704/_blank" </w:instrText>
      </w:r>
      <w:r>
        <w:fldChar w:fldCharType="separate"/>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支付评审专家劳务报酬。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劳务报酬应当按照评审专家参加评审活动的时间计算。负责组织评审活动的采购人或采购代理机构宣布评审开始为开始时间，评审专家在评审报告上签字为结束时间。</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采购人、采购代理机构应当合理安排项目评审时间，原则上评审专家每天工作时间不超过8小时。评审专家在评审期间的用餐、休息等保障工作由评审活动组织方负责，用餐、休息时间不计入评审时间。</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第二十六条</w:t>
      </w:r>
      <w:r>
        <w:rPr>
          <w:rStyle w:val="503"/>
          <w:rFonts w:hint="eastAsia" w:hAnsi="黑体"/>
          <w:bCs/>
          <w:sz w:val="32"/>
          <w:szCs w:val="32"/>
        </w:rPr>
        <w:t xml:space="preserve"> </w:t>
      </w:r>
      <w:r>
        <w:rPr>
          <w:rFonts w:hint="eastAsia" w:ascii="仿宋_GB2312" w:hAnsi="仿宋_GB2312" w:eastAsia="仿宋_GB2312" w:cs="仿宋_GB2312"/>
          <w:sz w:val="32"/>
          <w:szCs w:val="32"/>
        </w:rPr>
        <w:t xml:space="preserve"> 评审专家劳务报酬（税后）支付标准：</w:t>
      </w:r>
    </w:p>
    <w:p>
      <w:pPr>
        <w:numPr>
          <w:ilvl w:val="0"/>
          <w:numId w:val="7"/>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省级政府采购项目评审时间不超过2小时，劳务报酬为400元；其他市、县级政府采购项目评审时间不超过2小时，劳务报酬为300元；武汉市参照省级标准执行；</w:t>
      </w:r>
    </w:p>
    <w:p>
      <w:pPr>
        <w:numPr>
          <w:ilvl w:val="0"/>
          <w:numId w:val="7"/>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评审时间超过2小时，每增加0.5小时劳务报酬增加50元，不足0.5小时的按0.5小时计算；评审时间达到8小时，每增加0.5小时劳务报酬增加100元，不足0.5小时的按0.5小时计算；</w:t>
      </w:r>
    </w:p>
    <w:p>
      <w:pPr>
        <w:numPr>
          <w:ilvl w:val="0"/>
          <w:numId w:val="7"/>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评审专家已经到达评审地点，尚未开始评审工作，但采购项目非评审专家自身原因导致停止或改期进行，或者需要专家本人主动回避的，应当向评审专家支付不低于150元的误工费，已经开始评审的，按照前述标准执行；</w:t>
      </w:r>
    </w:p>
    <w:p>
      <w:pPr>
        <w:numPr>
          <w:ilvl w:val="0"/>
          <w:numId w:val="7"/>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对参加同一项目重新评审的专家，按照前述标准支付劳务报酬；因评审专家未履职尽责导致</w:t>
      </w:r>
      <w:bookmarkStart w:id="0" w:name="OLE_LINK9"/>
      <w:bookmarkStart w:id="1" w:name="OLE_LINK10"/>
      <w:r>
        <w:rPr>
          <w:rFonts w:hint="eastAsia" w:ascii="仿宋_GB2312" w:hAnsi="仿宋_GB2312" w:eastAsia="仿宋_GB2312" w:cs="仿宋_GB2312"/>
          <w:sz w:val="32"/>
          <w:szCs w:val="32"/>
        </w:rPr>
        <w:t>原评审委员会</w:t>
      </w:r>
      <w:bookmarkEnd w:id="0"/>
      <w:bookmarkEnd w:id="1"/>
      <w:r>
        <w:rPr>
          <w:rFonts w:hint="eastAsia" w:ascii="仿宋_GB2312" w:hAnsi="仿宋_GB2312" w:eastAsia="仿宋_GB2312" w:cs="仿宋_GB2312"/>
          <w:sz w:val="32"/>
          <w:szCs w:val="32"/>
        </w:rPr>
        <w:t>进行重新评审的，不再支付原评审委员会评审专家劳务报酬；</w:t>
      </w:r>
    </w:p>
    <w:p>
      <w:pPr>
        <w:numPr>
          <w:ilvl w:val="0"/>
          <w:numId w:val="7"/>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评审工作当天未完成的，次日重新按照前述标准计算劳务报酬。</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第二十七条</w:t>
      </w:r>
      <w:r>
        <w:rPr>
          <w:rFonts w:hint="eastAsia" w:ascii="仿宋_GB2312" w:hAnsi="仿宋_GB2312" w:eastAsia="仿宋_GB2312" w:cs="仿宋_GB2312"/>
          <w:sz w:val="32"/>
          <w:szCs w:val="32"/>
        </w:rPr>
        <w:t xml:space="preserve">  评审专家参加本地评审，其往返的交通费包含在评审劳务报酬中；评审专家参加异地评审，其往返的交通费、住宿费等实际发生的费用，可参照采购人执行的差旅费管理办法相应标准向采购人或集中采购机构凭据报销。</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第二十八条</w:t>
      </w:r>
      <w:r>
        <w:rPr>
          <w:rFonts w:hint="eastAsia" w:ascii="仿宋_GB2312" w:hAnsi="仿宋_GB2312" w:eastAsia="仿宋_GB2312" w:cs="仿宋_GB2312"/>
          <w:sz w:val="32"/>
          <w:szCs w:val="32"/>
        </w:rPr>
        <w:t xml:space="preserve">  采购人代表参与政府采购评审，不得以评审专家名义向其发放劳务报酬。</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第二十九条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评审专家未完成评审工作擅自离开评审现场或者在评审活动中有违法违规行为，不得获取劳务报酬和报销异地评审差旅费。</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第三十条</w:t>
      </w:r>
      <w:r>
        <w:rPr>
          <w:rFonts w:hint="eastAsia" w:ascii="仿宋_GB2312" w:hAnsi="仿宋_GB2312" w:eastAsia="仿宋_GB2312" w:cs="仿宋_GB2312"/>
          <w:sz w:val="32"/>
          <w:szCs w:val="32"/>
        </w:rPr>
        <w:t xml:space="preserve">  由采购人支付的劳务报酬应当在评审活动结束后，由采购代理机构将随机抽取的参加评审的专家名单和《湖北省政府采购评审专家劳务报酬（税后）确认表》（见附件3）送交采购人，采购人应当及时向评审专家支付劳务报酬。</w:t>
      </w:r>
    </w:p>
    <w:p>
      <w:pPr>
        <w:spacing w:before="296" w:beforeLines="95" w:after="296" w:afterLines="95"/>
        <w:jc w:val="center"/>
        <w:rPr>
          <w:rFonts w:ascii="黑体" w:hAnsi="黑体" w:eastAsia="黑体" w:cs="黑体"/>
          <w:sz w:val="32"/>
          <w:szCs w:val="32"/>
        </w:rPr>
      </w:pPr>
      <w:r>
        <w:rPr>
          <w:rFonts w:hint="eastAsia" w:ascii="黑体" w:hAnsi="黑体" w:eastAsia="黑体" w:cs="黑体"/>
          <w:sz w:val="32"/>
          <w:szCs w:val="32"/>
        </w:rPr>
        <w:t>第六章　评审专家评价与监督</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采购人、采购代理机构应当遵循客观公正、实事求是的原则，在政府采购项目评审工作结束后5个工作日内，对评审专家的履职情况进行评价。</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每位评审专家年度履职评价基本分为10分，共设置23项扣分情形，违反某项则将该项对应分值扣除，扣完为止。</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（一）违反以下情形之一的扣1分：</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迟到不超过0.5小时；</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未出示有效身份证明配合组织评审活动的工作人员核验身份；</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进入评审现场未按要求统一存放随身携带的通信工具或相关电子设备；</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在评审现场从事与评审活动无关的事情,影响评审工作秩序；</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故意拖延评审时间；</w:t>
      </w:r>
    </w:p>
    <w:p>
      <w:pPr>
        <w:numPr>
          <w:ilvl w:val="0"/>
          <w:numId w:val="8"/>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其他违法违规情节轻微的情形。</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（二）违反以下情形之一的扣2分：</w:t>
      </w:r>
    </w:p>
    <w:p>
      <w:pPr>
        <w:numPr>
          <w:ilvl w:val="0"/>
          <w:numId w:val="9"/>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缺席且未在规定时间内向采购代理机构请假，或者迟到超过0.5小时，导致评审工作无法在规定的时间开始；</w:t>
      </w:r>
    </w:p>
    <w:p>
      <w:pPr>
        <w:numPr>
          <w:ilvl w:val="0"/>
          <w:numId w:val="9"/>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委托或者顶替他人参加评审；</w:t>
      </w:r>
    </w:p>
    <w:p>
      <w:pPr>
        <w:numPr>
          <w:ilvl w:val="0"/>
          <w:numId w:val="9"/>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评审过程中擅离职守,影响评审工作正常进行；</w:t>
      </w:r>
    </w:p>
    <w:p>
      <w:pPr>
        <w:numPr>
          <w:ilvl w:val="0"/>
          <w:numId w:val="9"/>
        </w:numPr>
        <w:spacing w:line="59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超标准索取评审劳务报酬或者无理由额外索取其他报酬</w:t>
      </w:r>
      <w:r>
        <w:rPr>
          <w:rFonts w:hint="eastAsia" w:ascii="仿宋_GB2312" w:hAnsi="仿宋_GB2312" w:eastAsia="仿宋_GB2312" w:cs="仿宋_GB2312"/>
          <w:sz w:val="32"/>
          <w:szCs w:val="32"/>
        </w:rPr>
        <w:t>；</w:t>
      </w:r>
    </w:p>
    <w:p>
      <w:pPr>
        <w:numPr>
          <w:ilvl w:val="0"/>
          <w:numId w:val="9"/>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评审工作未结束，无正当理由提前离开评审现场；</w:t>
      </w:r>
    </w:p>
    <w:p>
      <w:pPr>
        <w:numPr>
          <w:ilvl w:val="0"/>
          <w:numId w:val="9"/>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其他违法违规情节较严重的情形。</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（三）违反以下情形之一的扣5分：</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对参加评审的专业不熟悉，市场行情不了解,专业能力不能满足评审工作要求；</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发表倾向性意见或者征询采购人代表、采购代理机构工作人员的倾向性意见；</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暗示或者诱导供应商作出澄清、说明、更正，或者接受供应商主动作出的澄清、说明、更正；</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对需要专业判断的主观评审因素协商评分；</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客观分评审错误；</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评分畸高或畸低；</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未按法律法规规定的情形随意废标；</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无故不按规定提交评审意见；</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记录、复制或带走任何评审资料；</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确定参与评审至评审结束前私自接触供应商；</w:t>
      </w:r>
    </w:p>
    <w:p>
      <w:pPr>
        <w:numPr>
          <w:ilvl w:val="0"/>
          <w:numId w:val="10"/>
        </w:num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其他违法违规情节严重的情形。</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采购人自行组织采购活动的应当对以上评分项进行评价。采购人委托采购代理机构实施的项目，由采购人、采购代理机构共同完成对评审专家的履职评价。</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 xml:space="preserve">第三十三条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年度履职评价以预算年度为一个周期,年度评分9分（含）以上为优秀，6-8分为合格，5分（含）以下为不合格，年度期满扣分清零后重新计算。评审专家履职量化评价得分小于等于7分时，系统自动发送短信息预警。</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评审专家量化扣分情况通过短信息告知其本人，评审专家对量化扣分有异议的，应当在评价结束后10个工作日内向项目同级财政部门提出书面申诉。相关财政部门应当在收到申诉材料后10个工作日内对申诉事项进行核查，经核查申诉情况属实的，由同级财政部门将核查结果书面报省财政厅后修改评价结果。</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采购人、采购代理机构评价不实或恶意评价，经评审专家申诉有效的，由项目同级财政部门责令改正，情节严重的给予通报批评；有其他违法违纪行为的，依照政府采购有关法律法规处理。</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采购人、采购代理机构未在规定的时间内对评审专家进行履职评价的，评审专家管理系统自动锁定其抽取权限，待评价工作完成后即时开放权限。</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第三十六条</w:t>
      </w:r>
      <w:r>
        <w:rPr>
          <w:rFonts w:hint="eastAsia" w:ascii="仿宋_GB2312" w:hAnsi="仿宋_GB2312" w:eastAsia="仿宋_GB2312" w:cs="仿宋_GB2312"/>
          <w:sz w:val="32"/>
          <w:szCs w:val="32"/>
        </w:rPr>
        <w:t xml:space="preserve">  采购人、采购代理机构对评审专家履职量化扣分应当有录音录像或书面记录作为必要的证明材料，随采购文件一起存档备查。</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根据评审专家年度履职评价结果设置阶梯抽取概率，连续两年履职评价结果为优秀，自动提高抽取概率，履职评价结果不合格的暂停参加评审活动6个月。</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评审专家有下列情形的，列入不良行为记录。</w:t>
      </w:r>
    </w:p>
    <w:p>
      <w:pPr>
        <w:numPr>
          <w:ilvl w:val="0"/>
          <w:numId w:val="11"/>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提供虚假申请材料；</w:t>
      </w:r>
    </w:p>
    <w:p>
      <w:pPr>
        <w:numPr>
          <w:ilvl w:val="0"/>
          <w:numId w:val="11"/>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拒不履行配合答复供应商询问、质疑、投诉等法定义务</w:t>
      </w:r>
      <w:r>
        <w:rPr>
          <w:rFonts w:hint="eastAsia" w:ascii="仿宋_GB2312" w:hAnsi="仿宋_GB2312" w:eastAsia="仿宋_GB2312" w:cs="仿宋_GB2312"/>
          <w:sz w:val="32"/>
          <w:szCs w:val="32"/>
        </w:rPr>
        <w:t>；</w:t>
      </w:r>
    </w:p>
    <w:p>
      <w:pPr>
        <w:numPr>
          <w:ilvl w:val="0"/>
          <w:numId w:val="11"/>
        </w:num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以评审专家身份从事有损政府采购公信力的活动。</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第三十九条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评审专家有下列违法行为的，其评审意见无效，依照政府采购有关法律法规进行处罚，并列入不良行为记录。有违法所得的，没收违法所得；给他人造成损失的，依法承担民事责任；构成犯罪的，依法追究刑事责任。</w:t>
      </w:r>
    </w:p>
    <w:p>
      <w:pPr>
        <w:numPr>
          <w:ilvl w:val="0"/>
          <w:numId w:val="1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未按照采购文件规定的评审程序、评审方法和评审标准进行独立评审或者泄露评审文件、评审情况；</w:t>
      </w:r>
    </w:p>
    <w:p>
      <w:pPr>
        <w:numPr>
          <w:ilvl w:val="0"/>
          <w:numId w:val="1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与供应商存在利害关系未回避；</w:t>
      </w:r>
    </w:p>
    <w:p>
      <w:pPr>
        <w:numPr>
          <w:ilvl w:val="0"/>
          <w:numId w:val="1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收受采购人、采购代理机构、供应商贿赂或者获取其他不正当利益。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第四十条</w:t>
      </w:r>
      <w:r>
        <w:rPr>
          <w:rStyle w:val="503"/>
          <w:rFonts w:hint="eastAsia" w:hAnsi="黑体"/>
          <w:bCs/>
          <w:sz w:val="32"/>
          <w:szCs w:val="32"/>
        </w:rPr>
        <w:t xml:space="preserve"> </w:t>
      </w:r>
      <w:r>
        <w:rPr>
          <w:rFonts w:hint="eastAsia" w:ascii="仿宋_GB2312" w:hAnsi="仿宋_GB2312" w:eastAsia="仿宋_GB2312" w:cs="仿宋_GB2312"/>
          <w:sz w:val="32"/>
          <w:szCs w:val="32"/>
        </w:rPr>
        <w:t xml:space="preserve"> 采购人、采购代理机构发现评审专家有违法违规行为的，应当及时向项目同级财政部门报告。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 xml:space="preserve">第四十一条 </w:t>
      </w:r>
      <w:r>
        <w:rPr>
          <w:rFonts w:hint="eastAsia" w:ascii="仿宋_GB2312" w:hAnsi="仿宋_GB2312" w:eastAsia="仿宋_GB2312" w:cs="仿宋_GB2312"/>
          <w:sz w:val="32"/>
          <w:szCs w:val="32"/>
        </w:rPr>
        <w:t xml:space="preserve"> 评审专家参加评审活动有违法违规行为的，由项目同级财政部门进行监督检查，经检查确认的结果在湖北政府采购网上公告，并将书面材料报送省财政厅。省财政厅根据报送的监督检查结果，对相关评审专家予以相应的处理。</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第四十二条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采购人或者采购代理机构未按照本办法规定抽取和使用评审专家的，依照政府采购有关法律法规追究法律责任。 </w:t>
      </w:r>
    </w:p>
    <w:p>
      <w:pPr>
        <w:spacing w:line="590" w:lineRule="exact"/>
        <w:ind w:firstLine="640" w:firstLineChars="200"/>
        <w:rPr>
          <w:rFonts w:ascii="仿宋_GB2312" w:hAnsi="仿宋_GB2312" w:eastAsia="仿宋_GB2312" w:cs="仿宋_GB2312"/>
          <w:sz w:val="32"/>
          <w:szCs w:val="32"/>
        </w:rPr>
      </w:pPr>
      <w:r>
        <w:rPr>
          <w:rStyle w:val="503"/>
          <w:rFonts w:hint="eastAsia" w:hAnsi="黑体"/>
          <w:sz w:val="32"/>
          <w:szCs w:val="32"/>
        </w:rPr>
        <w:t>第四十三条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财政部门工作人员在评审专家管理工作中存在滥用职权、玩忽职守、徇私舞弊等违法违纪行为的，依照《中华人民共和国政府采购法》《中华人民共和国监察法》《中华人民共和国政府采购法实施条例》等国家有关规定追究相应责任；涉嫌犯罪的，依法追究刑事责任。 </w:t>
      </w:r>
    </w:p>
    <w:p>
      <w:pPr>
        <w:spacing w:before="312" w:beforeLines="100" w:after="312" w:afterLines="100"/>
        <w:jc w:val="center"/>
        <w:rPr>
          <w:rFonts w:ascii="黑体" w:hAnsi="黑体" w:eastAsia="黑体" w:cs="黑体"/>
          <w:sz w:val="32"/>
          <w:szCs w:val="32"/>
        </w:rPr>
      </w:pPr>
      <w:r>
        <w:rPr>
          <w:rFonts w:hint="eastAsia" w:ascii="黑体" w:hAnsi="黑体" w:eastAsia="黑体" w:cs="黑体"/>
          <w:sz w:val="32"/>
          <w:szCs w:val="32"/>
        </w:rPr>
        <w:t>第七章　附　则</w:t>
      </w:r>
    </w:p>
    <w:p>
      <w:pPr>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第四十四条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国家对评审专家管理另有规定的，从其规定。 </w:t>
      </w:r>
    </w:p>
    <w:p>
      <w:pPr>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第四十五条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本办法自发布之日起施行，有效期5年。《湖北省财政厅关于政府采购评审专家劳务报酬支付标准的通知》（鄂财采发〔2017〕2号）、《湖北省政府采购评审专家管理实施办法》（鄂财采发〔2017〕4号）、《省财政厅关于湖北省政府采购评审专家履职评价有关事项的通知》（鄂财采发〔2018〕8号）同时废止。 </w:t>
      </w:r>
    </w:p>
    <w:p>
      <w:pPr>
        <w:pStyle w:val="505"/>
        <w:ind w:firstLine="640"/>
        <w:rPr>
          <w:rFonts w:ascii="仿宋_GB2312" w:hAnsi="仿宋_GB2312" w:eastAsia="仿宋_GB2312" w:cs="仿宋_GB2312"/>
          <w:sz w:val="32"/>
          <w:szCs w:val="32"/>
        </w:rPr>
      </w:pPr>
    </w:p>
    <w:p>
      <w:pPr>
        <w:pStyle w:val="50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附件：1.推荐函</w:t>
      </w:r>
    </w:p>
    <w:p>
      <w:pPr>
        <w:pStyle w:val="505"/>
        <w:ind w:left="16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2.申请书</w:t>
      </w:r>
    </w:p>
    <w:p>
      <w:pPr>
        <w:pStyle w:val="505"/>
        <w:ind w:left="1600" w:firstLine="0" w:firstLineChars="0"/>
        <w:rPr>
          <w:rFonts w:ascii="黑体" w:hAnsi="黑体" w:eastAsia="黑体"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6"/>
          <w:sz w:val="32"/>
          <w:szCs w:val="32"/>
        </w:rPr>
        <w:t>湖北省政府采购评审专家劳务报酬（税后）确认表</w:t>
      </w:r>
      <w:r>
        <w:rPr>
          <w:rFonts w:ascii="黑体" w:hAnsi="黑体" w:eastAsia="黑体" w:cs="仿宋_GB2312"/>
          <w:color w:val="000000" w:themeColor="text1"/>
          <w:sz w:val="32"/>
          <w:szCs w:val="32"/>
          <w14:textFill>
            <w14:solidFill>
              <w14:schemeClr w14:val="tx1"/>
            </w14:solidFill>
          </w14:textFill>
        </w:rPr>
        <w:br w:type="page"/>
      </w:r>
    </w:p>
    <w:p>
      <w:pPr>
        <w:jc w:val="left"/>
        <w:rPr>
          <w:rFonts w:ascii="黑体" w:hAnsi="黑体" w:eastAsia="黑体" w:cs="宋体"/>
          <w:sz w:val="32"/>
          <w:szCs w:val="32"/>
        </w:rPr>
      </w:pPr>
      <w:r>
        <w:rPr>
          <w:rFonts w:hint="eastAsia" w:ascii="黑体" w:hAnsi="黑体" w:eastAsia="黑体" w:cs="宋体"/>
          <w:sz w:val="32"/>
          <w:szCs w:val="32"/>
        </w:rPr>
        <w:t>附件1</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  荐  函</w:t>
      </w:r>
    </w:p>
    <w:p>
      <w:pPr>
        <w:widowControl/>
        <w:spacing w:after="120"/>
        <w:ind w:right="180"/>
        <w:jc w:val="left"/>
        <w:rPr>
          <w:rFonts w:ascii="仿宋_GB2312" w:hAnsi="仿宋_GB2312" w:eastAsia="仿宋_GB2312" w:cs="仿宋_GB2312"/>
          <w:color w:val="333333"/>
          <w:kern w:val="0"/>
          <w:sz w:val="32"/>
          <w:szCs w:val="32"/>
          <w:shd w:val="clear" w:color="auto" w:fill="FFFFFF"/>
          <w:lang w:bidi="ar"/>
        </w:rPr>
      </w:pPr>
    </w:p>
    <w:p>
      <w:pPr>
        <w:widowControl/>
        <w:spacing w:after="120"/>
        <w:ind w:right="180"/>
        <w:jc w:val="left"/>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湖北省财政厅：</w:t>
      </w:r>
    </w:p>
    <w:p>
      <w:pPr>
        <w:widowControl/>
        <w:spacing w:after="120"/>
        <w:ind w:right="180" w:firstLine="64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兹有xxx（身份证号：xxx），从事xxx工作xx年（不少于8年），获得过xxx（县级以上专业相关荣誉、专利成果、科研成果、学术论文等），因xxx原因未获评中级及以上专业技术职称或同等专业水平，经我单位审查，认为其具备成为省政府采购评审专家的能力水平，特推荐选聘为湖北省政府采购评审专家。</w:t>
      </w:r>
    </w:p>
    <w:p>
      <w:pPr>
        <w:widowControl/>
        <w:spacing w:after="120"/>
        <w:ind w:right="180" w:firstLine="640"/>
        <w:jc w:val="left"/>
        <w:rPr>
          <w:rFonts w:ascii="仿宋_GB2312" w:hAnsi="仿宋_GB2312" w:eastAsia="仿宋_GB2312" w:cs="仿宋_GB2312"/>
          <w:color w:val="333333"/>
          <w:kern w:val="0"/>
          <w:sz w:val="32"/>
          <w:szCs w:val="32"/>
          <w:shd w:val="clear" w:color="auto" w:fill="FFFFFF"/>
          <w:lang w:bidi="ar"/>
        </w:rPr>
      </w:pPr>
    </w:p>
    <w:p>
      <w:pPr>
        <w:widowControl/>
        <w:spacing w:after="120"/>
        <w:ind w:right="180" w:firstLine="5280" w:firstLineChars="165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xxx财政局（盖章）</w:t>
      </w:r>
    </w:p>
    <w:p>
      <w:pPr>
        <w:widowControl/>
        <w:ind w:left="181" w:right="181"/>
        <w:jc w:val="center"/>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 xml:space="preserve">                             xxxx年x月x日</w:t>
      </w: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left"/>
        <w:rPr>
          <w:rFonts w:ascii="黑体" w:hAnsi="黑体" w:eastAsia="黑体" w:cs="宋体"/>
          <w:sz w:val="32"/>
          <w:szCs w:val="32"/>
        </w:rPr>
      </w:pPr>
      <w:r>
        <w:rPr>
          <w:rFonts w:hint="eastAsia" w:ascii="黑体" w:hAnsi="黑体" w:eastAsia="黑体" w:cs="宋体"/>
          <w:sz w:val="32"/>
          <w:szCs w:val="32"/>
        </w:rPr>
        <w:t>附件2</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请  书</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湖北省财政厅：</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本人xxx</w:t>
      </w:r>
      <w:r>
        <w:rPr>
          <w:rFonts w:hint="eastAsia" w:ascii="仿宋_GB2312" w:hAnsi="仿宋_GB2312" w:eastAsia="仿宋_GB2312" w:cs="仿宋_GB2312"/>
          <w:color w:val="333333"/>
          <w:kern w:val="0"/>
          <w:sz w:val="32"/>
          <w:szCs w:val="32"/>
          <w:shd w:val="clear" w:color="auto" w:fill="FFFFFF"/>
          <w:lang w:bidi="ar"/>
        </w:rPr>
        <w:t>（身份证号：xxx）</w:t>
      </w:r>
      <w:r>
        <w:rPr>
          <w:rFonts w:hint="eastAsia" w:ascii="仿宋_GB2312" w:hAnsi="仿宋_GB2312" w:eastAsia="仿宋_GB2312" w:cs="仿宋_GB2312"/>
          <w:sz w:val="32"/>
          <w:szCs w:val="32"/>
        </w:rPr>
        <w:t>，符合《湖北省政府采购评审专家管理实施办法》（鄂财采规〔2022〕1号）第六条规定的资格条件，现申请成为湖北省政府采购评审专家，并承诺自觉遵守评审工作纪律，维护公开、公平、公正的评审活动秩序，树立诚实守信的评审专家形象。</w:t>
      </w:r>
    </w:p>
    <w:p>
      <w:pPr>
        <w:jc w:val="left"/>
        <w:rPr>
          <w:rFonts w:ascii="宋体" w:hAnsi="宋体" w:cs="宋体"/>
          <w:sz w:val="32"/>
          <w:szCs w:val="32"/>
        </w:rPr>
      </w:pPr>
    </w:p>
    <w:p>
      <w:pPr>
        <w:jc w:val="left"/>
        <w:rPr>
          <w:rFonts w:ascii="宋体" w:hAnsi="宋体" w:cs="宋体"/>
          <w:sz w:val="32"/>
          <w:szCs w:val="32"/>
        </w:rPr>
      </w:pPr>
    </w:p>
    <w:p>
      <w:pPr>
        <w:pStyle w:val="12"/>
        <w:spacing w:beforeAutospacing="0" w:afterAutospacing="0" w:line="480" w:lineRule="auto"/>
        <w:ind w:left="180" w:right="180" w:firstLine="64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申请人： </w:t>
      </w:r>
    </w:p>
    <w:p>
      <w:pPr>
        <w:pStyle w:val="12"/>
        <w:spacing w:beforeAutospacing="0" w:afterAutospacing="0" w:line="480" w:lineRule="auto"/>
        <w:ind w:left="180" w:right="180" w:firstLine="640"/>
        <w:jc w:val="both"/>
        <w:rPr>
          <w:sz w:val="32"/>
          <w:szCs w:val="32"/>
        </w:rPr>
      </w:pPr>
      <w:r>
        <w:rPr>
          <w:rFonts w:hint="eastAsia" w:ascii="仿宋_GB2312" w:hAnsi="仿宋_GB2312" w:eastAsia="仿宋_GB2312" w:cs="仿宋_GB2312"/>
          <w:kern w:val="2"/>
          <w:sz w:val="32"/>
          <w:szCs w:val="32"/>
        </w:rPr>
        <w:t xml:space="preserve">                                日  期： </w:t>
      </w:r>
    </w:p>
    <w:p>
      <w:pPr>
        <w:jc w:val="left"/>
        <w:rPr>
          <w:rFonts w:ascii="宋体" w:hAnsi="宋体" w:cs="宋体"/>
          <w:sz w:val="32"/>
          <w:szCs w:val="32"/>
        </w:rPr>
      </w:pPr>
    </w:p>
    <w:p>
      <w:pPr>
        <w:jc w:val="left"/>
        <w:rPr>
          <w:rFonts w:ascii="宋体" w:hAnsi="宋体" w:cs="宋体"/>
          <w:sz w:val="32"/>
          <w:szCs w:val="32"/>
        </w:rPr>
      </w:pPr>
    </w:p>
    <w:p>
      <w:pPr>
        <w:widowControl/>
        <w:jc w:val="left"/>
        <w:rPr>
          <w:rFonts w:ascii="黑体" w:hAnsi="黑体" w:eastAsia="黑体" w:cs="仿宋_GB2312"/>
          <w:color w:val="000000" w:themeColor="text1"/>
          <w:sz w:val="32"/>
          <w:szCs w:val="32"/>
          <w14:textFill>
            <w14:solidFill>
              <w14:schemeClr w14:val="tx1"/>
            </w14:solidFill>
          </w14:textFill>
        </w:rPr>
      </w:pPr>
    </w:p>
    <w:p>
      <w:pPr>
        <w:widowControl/>
        <w:jc w:val="left"/>
        <w:rPr>
          <w:rFonts w:ascii="黑体" w:hAnsi="黑体" w:eastAsia="黑体" w:cs="仿宋_GB2312"/>
          <w:color w:val="000000" w:themeColor="text1"/>
          <w:sz w:val="32"/>
          <w:szCs w:val="32"/>
          <w14:textFill>
            <w14:solidFill>
              <w14:schemeClr w14:val="tx1"/>
            </w14:solidFill>
          </w14:textFill>
        </w:rPr>
      </w:pPr>
    </w:p>
    <w:p>
      <w:pPr>
        <w:snapToGrid w:val="0"/>
        <w:rPr>
          <w:rFonts w:ascii="黑体" w:hAnsi="黑体" w:eastAsia="黑体" w:cs="仿宋_GB2312"/>
          <w:color w:val="000000" w:themeColor="text1"/>
          <w:sz w:val="32"/>
          <w:szCs w:val="32"/>
          <w14:textFill>
            <w14:solidFill>
              <w14:schemeClr w14:val="tx1"/>
            </w14:solidFill>
          </w14:textFill>
        </w:rPr>
        <w:sectPr>
          <w:footerReference r:id="rId3" w:type="default"/>
          <w:footerReference r:id="rId4" w:type="even"/>
          <w:pgSz w:w="11906" w:h="16838"/>
          <w:pgMar w:top="1985" w:right="1588" w:bottom="1814" w:left="1588" w:header="737" w:footer="1304" w:gutter="0"/>
          <w:cols w:space="425" w:num="1"/>
          <w:docGrid w:type="lines" w:linePitch="312" w:charSpace="0"/>
        </w:sectPr>
      </w:pPr>
    </w:p>
    <w:p>
      <w:pPr>
        <w:snapToGrid w:val="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r>
        <w:rPr>
          <w:rFonts w:ascii="黑体" w:hAnsi="黑体" w:eastAsia="黑体" w:cs="仿宋_GB2312"/>
          <w:color w:val="000000" w:themeColor="text1"/>
          <w:sz w:val="32"/>
          <w:szCs w:val="32"/>
          <w14:textFill>
            <w14:solidFill>
              <w14:schemeClr w14:val="tx1"/>
            </w14:solidFill>
          </w14:textFill>
        </w:rPr>
        <w:t>3</w:t>
      </w:r>
    </w:p>
    <w:p>
      <w:pPr>
        <w:snapToGrid w:val="0"/>
        <w:rPr>
          <w:sz w:val="13"/>
          <w:szCs w:val="13"/>
        </w:rPr>
      </w:pPr>
    </w:p>
    <w:p>
      <w:pPr>
        <w:widowControl/>
        <w:ind w:left="181" w:right="181"/>
        <w:jc w:val="center"/>
        <w:rPr>
          <w:sz w:val="40"/>
          <w:szCs w:val="40"/>
        </w:rPr>
      </w:pPr>
      <w:r>
        <w:rPr>
          <w:rFonts w:ascii="方正小标宋_GBK" w:hAnsi="方正小标宋_GBK" w:eastAsia="方正小标宋_GBK" w:cs="方正小标宋_GBK"/>
          <w:color w:val="333333"/>
          <w:kern w:val="0"/>
          <w:sz w:val="40"/>
          <w:szCs w:val="40"/>
          <w:shd w:val="clear" w:color="auto" w:fill="FFFFFF"/>
          <w:lang w:bidi="ar"/>
        </w:rPr>
        <w:t>湖北省政府采购评审专家劳务报酬</w:t>
      </w:r>
      <w:r>
        <w:rPr>
          <w:rFonts w:hint="eastAsia" w:ascii="方正小标宋_GBK" w:hAnsi="方正小标宋_GBK" w:eastAsia="方正小标宋_GBK" w:cs="方正小标宋_GBK"/>
          <w:color w:val="333333"/>
          <w:kern w:val="0"/>
          <w:sz w:val="40"/>
          <w:szCs w:val="40"/>
          <w:shd w:val="clear" w:color="auto" w:fill="FFFFFF"/>
          <w:lang w:bidi="ar"/>
        </w:rPr>
        <w:t>（税后）</w:t>
      </w:r>
      <w:r>
        <w:rPr>
          <w:rFonts w:ascii="方正小标宋_GBK" w:hAnsi="方正小标宋_GBK" w:eastAsia="方正小标宋_GBK" w:cs="方正小标宋_GBK"/>
          <w:color w:val="333333"/>
          <w:kern w:val="0"/>
          <w:sz w:val="40"/>
          <w:szCs w:val="40"/>
          <w:shd w:val="clear" w:color="auto" w:fill="FFFFFF"/>
          <w:lang w:bidi="ar"/>
        </w:rPr>
        <w:t>确认表</w:t>
      </w:r>
    </w:p>
    <w:p>
      <w:pPr>
        <w:widowControl/>
        <w:ind w:right="181"/>
        <w:jc w:val="left"/>
        <w:rPr>
          <w:rFonts w:ascii="楷体_GB2312" w:hAnsi="微软雅黑" w:eastAsia="楷体_GB2312" w:cs="楷体_GB2312"/>
          <w:color w:val="333333"/>
          <w:kern w:val="0"/>
          <w:sz w:val="24"/>
          <w:szCs w:val="24"/>
          <w:shd w:val="clear" w:color="auto" w:fill="FFFFFF"/>
          <w:lang w:bidi="ar"/>
        </w:rPr>
      </w:pPr>
    </w:p>
    <w:p>
      <w:pPr>
        <w:widowControl/>
        <w:ind w:right="181"/>
        <w:jc w:val="left"/>
        <w:rPr>
          <w:rFonts w:ascii="仿宋_GB2312" w:hAnsi="仿宋_GB2312" w:eastAsia="仿宋_GB2312" w:cs="仿宋_GB2312"/>
          <w:color w:val="333333"/>
          <w:kern w:val="0"/>
          <w:sz w:val="28"/>
          <w:szCs w:val="28"/>
          <w:shd w:val="clear" w:color="auto" w:fill="FFFFFF"/>
          <w:lang w:bidi="ar"/>
        </w:rPr>
      </w:pPr>
      <w:r>
        <w:rPr>
          <w:rFonts w:hint="eastAsia" w:ascii="仿宋_GB2312" w:hAnsi="仿宋_GB2312" w:eastAsia="仿宋_GB2312" w:cs="仿宋_GB2312"/>
          <w:color w:val="333333"/>
          <w:kern w:val="0"/>
          <w:sz w:val="28"/>
          <w:szCs w:val="28"/>
          <w:shd w:val="clear" w:color="auto" w:fill="FFFFFF"/>
          <w:lang w:bidi="ar"/>
        </w:rPr>
        <w:t>采购人：                                         项目名称：</w:t>
      </w:r>
    </w:p>
    <w:p>
      <w:pPr>
        <w:widowControl/>
        <w:ind w:right="181"/>
        <w:jc w:val="left"/>
        <w:rPr>
          <w:rFonts w:ascii="仿宋_GB2312" w:hAnsi="仿宋_GB2312" w:eastAsia="仿宋_GB2312" w:cs="仿宋_GB2312"/>
          <w:color w:val="333333"/>
          <w:kern w:val="0"/>
          <w:sz w:val="28"/>
          <w:szCs w:val="28"/>
          <w:shd w:val="clear" w:color="auto" w:fill="FFFFFF"/>
          <w:lang w:bidi="ar"/>
        </w:rPr>
      </w:pPr>
      <w:r>
        <w:rPr>
          <w:rFonts w:hint="eastAsia" w:ascii="仿宋_GB2312" w:hAnsi="仿宋_GB2312" w:eastAsia="仿宋_GB2312" w:cs="仿宋_GB2312"/>
          <w:color w:val="333333"/>
          <w:kern w:val="0"/>
          <w:sz w:val="28"/>
          <w:szCs w:val="28"/>
          <w:shd w:val="clear" w:color="auto" w:fill="FFFFFF"/>
          <w:lang w:bidi="ar"/>
        </w:rPr>
        <w:t>采购代理机构：                                    评审时间：</w:t>
      </w:r>
    </w:p>
    <w:tbl>
      <w:tblPr>
        <w:tblStyle w:val="18"/>
        <w:tblW w:w="1422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19"/>
        <w:gridCol w:w="2009"/>
        <w:gridCol w:w="2009"/>
        <w:gridCol w:w="2008"/>
        <w:gridCol w:w="2008"/>
        <w:gridCol w:w="1857"/>
        <w:gridCol w:w="2164"/>
        <w:gridCol w:w="11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姓 名</w:t>
            </w:r>
          </w:p>
        </w:tc>
        <w:tc>
          <w:tcPr>
            <w:tcW w:w="2009"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工作单位</w:t>
            </w:r>
          </w:p>
        </w:tc>
        <w:tc>
          <w:tcPr>
            <w:tcW w:w="2009"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身份证号码</w:t>
            </w:r>
          </w:p>
        </w:tc>
        <w:tc>
          <w:tcPr>
            <w:tcW w:w="2008"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手机号码</w:t>
            </w:r>
          </w:p>
        </w:tc>
        <w:tc>
          <w:tcPr>
            <w:tcW w:w="2008"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开户银行</w:t>
            </w:r>
          </w:p>
        </w:tc>
        <w:tc>
          <w:tcPr>
            <w:tcW w:w="1857"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银行账号</w:t>
            </w:r>
          </w:p>
        </w:tc>
        <w:tc>
          <w:tcPr>
            <w:tcW w:w="2164"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劳务报酬（元）</w:t>
            </w:r>
          </w:p>
        </w:tc>
        <w:tc>
          <w:tcPr>
            <w:tcW w:w="1146" w:type="dxa"/>
            <w:tcBorders>
              <w:top w:val="single" w:color="646464" w:sz="4" w:space="0"/>
              <w:left w:val="single" w:color="646464" w:sz="4" w:space="0"/>
              <w:bottom w:val="single" w:color="646464" w:sz="4" w:space="0"/>
              <w:right w:val="single" w:color="646464" w:sz="4" w:space="0"/>
            </w:tcBorders>
            <w:vAlign w:val="center"/>
          </w:tcPr>
          <w:p>
            <w:pPr>
              <w:widowControl/>
              <w:jc w:val="center"/>
              <w:rPr>
                <w:rFonts w:ascii="黑体" w:hAnsi="黑体" w:eastAsia="黑体" w:cs="黑体"/>
                <w:bCs/>
                <w:sz w:val="28"/>
                <w:szCs w:val="28"/>
              </w:rPr>
            </w:pPr>
            <w:r>
              <w:rPr>
                <w:rFonts w:hint="eastAsia" w:ascii="黑体" w:hAnsi="黑体" w:eastAsia="黑体" w:cs="黑体"/>
                <w:bCs/>
                <w:color w:val="333333"/>
                <w:kern w:val="0"/>
                <w:sz w:val="28"/>
                <w:szCs w:val="28"/>
                <w:lang w:bidi="ar"/>
              </w:rPr>
              <w:t>签 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857"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164"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146"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857"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164"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146"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857"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164"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146"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857"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164"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146"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101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9"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008"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857"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2164"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c>
          <w:tcPr>
            <w:tcW w:w="1146" w:type="dxa"/>
            <w:tcBorders>
              <w:top w:val="single" w:color="646464" w:sz="4" w:space="0"/>
              <w:left w:val="single" w:color="646464" w:sz="4" w:space="0"/>
              <w:bottom w:val="single" w:color="646464" w:sz="4" w:space="0"/>
              <w:right w:val="single" w:color="646464" w:sz="4" w:space="0"/>
            </w:tcBorders>
            <w:vAlign w:val="center"/>
          </w:tcPr>
          <w:p>
            <w:pPr>
              <w:jc w:val="center"/>
              <w:rPr>
                <w:rFonts w:ascii="微软雅黑" w:hAnsi="微软雅黑" w:eastAsia="微软雅黑" w:cs="微软雅黑"/>
                <w:color w:val="333333"/>
                <w:sz w:val="28"/>
                <w:szCs w:val="28"/>
              </w:rPr>
            </w:pPr>
          </w:p>
        </w:tc>
      </w:tr>
    </w:tbl>
    <w:p>
      <w:pPr>
        <w:spacing w:before="156" w:beforeLines="50"/>
        <w:jc w:val="center"/>
        <w:rPr>
          <w:rFonts w:ascii="仿宋_GB2312" w:hAnsi="仿宋_GB2312" w:eastAsia="仿宋_GB2312" w:cs="仿宋_GB2312"/>
          <w:color w:val="333333"/>
          <w:kern w:val="0"/>
          <w:sz w:val="28"/>
          <w:szCs w:val="28"/>
          <w:shd w:val="clear" w:color="auto" w:fill="FFFFFF"/>
          <w:lang w:bidi="ar"/>
        </w:rPr>
      </w:pPr>
      <w:r>
        <w:rPr>
          <w:rFonts w:hint="eastAsia" w:ascii="仿宋_GB2312" w:hAnsi="仿宋_GB2312" w:eastAsia="仿宋_GB2312" w:cs="仿宋_GB2312"/>
          <w:color w:val="333333"/>
          <w:kern w:val="0"/>
          <w:sz w:val="28"/>
          <w:szCs w:val="28"/>
          <w:shd w:val="clear" w:color="auto" w:fill="FFFFFF"/>
          <w:lang w:bidi="ar"/>
        </w:rPr>
        <w:t xml:space="preserve">                                                  采购代理机构联系人：</w:t>
      </w:r>
    </w:p>
    <w:p>
      <w:r>
        <w:rPr>
          <w:rFonts w:hint="eastAsia" w:ascii="仿宋_GB2312" w:hAnsi="仿宋_GB2312" w:eastAsia="仿宋_GB2312" w:cs="仿宋_GB2312"/>
          <w:color w:val="333333"/>
          <w:kern w:val="0"/>
          <w:sz w:val="28"/>
          <w:szCs w:val="28"/>
          <w:shd w:val="clear" w:color="auto" w:fill="FFFFFF"/>
          <w:lang w:bidi="ar"/>
        </w:rPr>
        <w:t xml:space="preserve">                                                            </w:t>
      </w:r>
      <w:r>
        <w:rPr>
          <w:rFonts w:ascii="仿宋_GB2312" w:hAnsi="仿宋_GB2312" w:eastAsia="仿宋_GB2312" w:cs="仿宋_GB2312"/>
          <w:color w:val="333333"/>
          <w:kern w:val="0"/>
          <w:sz w:val="28"/>
          <w:szCs w:val="28"/>
          <w:shd w:val="clear" w:color="auto" w:fill="FFFFFF"/>
          <w:lang w:bidi="ar"/>
        </w:rPr>
        <w:tab/>
      </w:r>
      <w:r>
        <w:rPr>
          <w:rFonts w:ascii="仿宋_GB2312" w:hAnsi="仿宋_GB2312" w:eastAsia="仿宋_GB2312" w:cs="仿宋_GB2312"/>
          <w:color w:val="333333"/>
          <w:kern w:val="0"/>
          <w:sz w:val="28"/>
          <w:szCs w:val="28"/>
          <w:shd w:val="clear" w:color="auto" w:fill="FFFFFF"/>
          <w:lang w:bidi="ar"/>
        </w:rPr>
        <w:tab/>
      </w:r>
      <w:r>
        <w:rPr>
          <w:rFonts w:hint="eastAsia" w:ascii="仿宋_GB2312" w:hAnsi="仿宋_GB2312" w:eastAsia="仿宋_GB2312" w:cs="仿宋_GB2312"/>
          <w:color w:val="333333"/>
          <w:kern w:val="0"/>
          <w:sz w:val="28"/>
          <w:szCs w:val="28"/>
          <w:shd w:val="clear" w:color="auto" w:fill="FFFFFF"/>
          <w:lang w:bidi="ar"/>
        </w:rPr>
        <w:t>联系电话：</w:t>
      </w:r>
    </w:p>
    <w:p>
      <w:pPr>
        <w:widowControl/>
        <w:snapToGrid w:val="0"/>
        <w:spacing w:line="160" w:lineRule="exact"/>
        <w:jc w:val="left"/>
        <w:rPr>
          <w:rFonts w:ascii="仿宋_GB2312" w:eastAsia="仿宋_GB2312"/>
          <w:color w:val="000000" w:themeColor="text1"/>
          <w:sz w:val="32"/>
          <w:szCs w:val="32"/>
          <w14:textFill>
            <w14:solidFill>
              <w14:schemeClr w14:val="tx1"/>
            </w14:solidFill>
          </w14:textFill>
        </w:rPr>
        <w:sectPr>
          <w:footerReference r:id="rId5" w:type="default"/>
          <w:pgSz w:w="16838" w:h="11906" w:orient="landscape"/>
          <w:pgMar w:top="1474" w:right="1304" w:bottom="1474" w:left="1304" w:header="737" w:footer="907" w:gutter="0"/>
          <w:cols w:space="425" w:num="1"/>
          <w:docGrid w:type="lines" w:linePitch="312" w:charSpace="0"/>
        </w:sectPr>
      </w:pPr>
    </w:p>
    <w:p>
      <w:pPr>
        <w:widowControl/>
        <w:jc w:val="left"/>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tbl>
      <w:tblPr>
        <w:tblStyle w:val="19"/>
        <w:tblpPr w:leftFromText="180" w:rightFromText="180" w:vertAnchor="text" w:horzAnchor="margin" w:tblpY="9316"/>
        <w:tblOverlap w:val="never"/>
        <w:tblW w:w="873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436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730" w:type="dxa"/>
            <w:gridSpan w:val="2"/>
            <w:tcBorders>
              <w:top w:val="nil"/>
              <w:bottom w:val="single" w:color="auto" w:sz="8" w:space="0"/>
            </w:tcBorders>
            <w:tcMar>
              <w:left w:w="0" w:type="dxa"/>
              <w:right w:w="0" w:type="dxa"/>
            </w:tcMar>
            <w:vAlign w:val="center"/>
          </w:tcPr>
          <w:p>
            <w:pPr>
              <w:snapToGrid w:val="0"/>
              <w:ind w:right="210" w:rightChars="100"/>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信息公开选项：</w:t>
            </w:r>
            <w:r>
              <w:rPr>
                <w:rFonts w:hint="eastAsia" w:ascii="宋体" w:hAnsi="宋体" w:eastAsia="宋体"/>
                <w:color w:val="000000" w:themeColor="text1"/>
                <w:sz w:val="30"/>
                <w:szCs w:val="30"/>
                <w14:textFill>
                  <w14:solidFill>
                    <w14:schemeClr w14:val="tx1"/>
                  </w14:solidFill>
                </w14:textFill>
              </w:rPr>
              <w:t>主动公开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365" w:type="dxa"/>
            <w:tcBorders>
              <w:top w:val="single" w:color="auto" w:sz="4" w:space="0"/>
              <w:bottom w:val="single" w:color="auto" w:sz="8" w:space="0"/>
              <w:right w:val="nil"/>
            </w:tcBorders>
            <w:tcMar>
              <w:left w:w="0" w:type="dxa"/>
              <w:right w:w="0" w:type="dxa"/>
            </w:tcMar>
            <w:vAlign w:val="center"/>
          </w:tcPr>
          <w:p>
            <w:pPr>
              <w:snapToGrid w:val="0"/>
              <w:ind w:firstLine="300" w:firstLineChars="1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湖北省财政厅办公室</w:t>
            </w:r>
          </w:p>
        </w:tc>
        <w:tc>
          <w:tcPr>
            <w:tcW w:w="4365" w:type="dxa"/>
            <w:tcBorders>
              <w:top w:val="single" w:color="auto" w:sz="4" w:space="0"/>
              <w:left w:val="nil"/>
              <w:bottom w:val="single" w:color="auto" w:sz="8" w:space="0"/>
            </w:tcBorders>
            <w:tcMar>
              <w:left w:w="0" w:type="dxa"/>
              <w:right w:w="0" w:type="dxa"/>
            </w:tcMar>
            <w:vAlign w:val="center"/>
          </w:tcPr>
          <w:p>
            <w:pPr>
              <w:wordWrap w:val="0"/>
              <w:snapToGrid w:val="0"/>
              <w:jc w:val="right"/>
              <w:rPr>
                <w:rFonts w:ascii="仿宋_GB2312" w:hAnsi="仿宋_GB2312" w:eastAsia="仿宋_GB2312" w:cs="仿宋_GB2312"/>
                <w:color w:val="000000" w:themeColor="text1"/>
                <w:sz w:val="30"/>
                <w:szCs w:val="30"/>
                <w14:textFill>
                  <w14:solidFill>
                    <w14:schemeClr w14:val="tx1"/>
                  </w14:solidFill>
                </w14:textFill>
              </w:rPr>
            </w:pPr>
            <w:r>
              <w:rPr>
                <w:rFonts w:ascii="仿宋_GB2312" w:hAnsi="仿宋_GB2312" w:eastAsia="仿宋_GB2312" w:cs="仿宋_GB2312"/>
                <w:color w:val="000000" w:themeColor="text1"/>
                <w:sz w:val="30"/>
                <w:szCs w:val="30"/>
                <w14:textFill>
                  <w14:solidFill>
                    <w14:schemeClr w14:val="tx1"/>
                  </w14:solidFill>
                </w14:textFill>
              </w:rPr>
              <w:t>2022</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ascii="仿宋_GB2312" w:hAnsi="仿宋_GB2312" w:eastAsia="仿宋_GB2312" w:cs="仿宋_GB2312"/>
                <w:color w:val="000000" w:themeColor="text1"/>
                <w:sz w:val="30"/>
                <w:szCs w:val="30"/>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ascii="仿宋_GB2312" w:hAnsi="仿宋_GB2312" w:eastAsia="仿宋_GB2312" w:cs="仿宋_GB2312"/>
                <w:color w:val="000000" w:themeColor="text1"/>
                <w:sz w:val="30"/>
                <w:szCs w:val="30"/>
                <w14:textFill>
                  <w14:solidFill>
                    <w14:schemeClr w14:val="tx1"/>
                  </w14:solidFill>
                </w14:textFill>
              </w:rPr>
              <w:t>30</w:t>
            </w:r>
            <w:r>
              <w:rPr>
                <w:rFonts w:hint="eastAsia" w:ascii="仿宋_GB2312" w:hAnsi="仿宋_GB2312" w:eastAsia="仿宋_GB2312" w:cs="仿宋_GB2312"/>
                <w:color w:val="000000" w:themeColor="text1"/>
                <w:sz w:val="30"/>
                <w:szCs w:val="30"/>
                <w14:textFill>
                  <w14:solidFill>
                    <w14:schemeClr w14:val="tx1"/>
                  </w14:solidFill>
                </w14:textFill>
              </w:rPr>
              <w:t xml:space="preserve">日印发 </w:t>
            </w:r>
            <w:r>
              <w:rPr>
                <w:rFonts w:ascii="仿宋_GB2312" w:hAnsi="仿宋_GB2312" w:eastAsia="仿宋_GB2312" w:cs="仿宋_GB2312"/>
                <w:color w:val="000000" w:themeColor="text1"/>
                <w:sz w:val="30"/>
                <w:szCs w:val="30"/>
                <w14:textFill>
                  <w14:solidFill>
                    <w14:schemeClr w14:val="tx1"/>
                  </w14:solidFill>
                </w14:textFill>
              </w:rPr>
              <w:t xml:space="preserve"> </w:t>
            </w:r>
          </w:p>
        </w:tc>
      </w:tr>
    </w:tbl>
    <w:p>
      <w:pPr>
        <w:rPr>
          <w:color w:val="000000" w:themeColor="text1"/>
          <w14:textFill>
            <w14:solidFill>
              <w14:schemeClr w14:val="tx1"/>
            </w14:solidFill>
          </w14:textFill>
        </w:rPr>
      </w:pPr>
    </w:p>
    <w:sectPr>
      <w:pgSz w:w="11906" w:h="16838"/>
      <w:pgMar w:top="1985" w:right="1588" w:bottom="1814" w:left="1588" w:header="737"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0000000000000000000"/>
    <w:charset w:val="00"/>
    <w:family w:val="swiss"/>
    <w:pitch w:val="default"/>
    <w:sig w:usb0="00000000" w:usb1="00000000" w:usb2="0A046029" w:usb3="00000000" w:csb0="0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cs="Times New Roman"/>
        <w:sz w:val="24"/>
        <w:szCs w:val="24"/>
      </w:rPr>
    </w:pPr>
    <w:r>
      <w:rPr>
        <w:rStyle w:val="14"/>
        <w:rFonts w:ascii="宋体" w:hAnsi="宋体" w:eastAsia="宋体" w:cs="宋体"/>
        <w:sz w:val="24"/>
        <w:szCs w:val="24"/>
      </w:rPr>
      <w:t xml:space="preserve">— </w:t>
    </w:r>
    <w:r>
      <w:rPr>
        <w:rStyle w:val="14"/>
        <w:rFonts w:ascii="Times New Roman" w:hAnsi="Times New Roman" w:eastAsia="宋体" w:cs="Times New Roman"/>
        <w:sz w:val="24"/>
        <w:szCs w:val="24"/>
      </w:rPr>
      <w:fldChar w:fldCharType="begin"/>
    </w:r>
    <w:r>
      <w:rPr>
        <w:rStyle w:val="14"/>
        <w:rFonts w:ascii="Times New Roman" w:hAnsi="Times New Roman" w:eastAsia="宋体" w:cs="Times New Roman"/>
        <w:sz w:val="24"/>
        <w:szCs w:val="24"/>
      </w:rPr>
      <w:instrText xml:space="preserve">PAGE  </w:instrText>
    </w:r>
    <w:r>
      <w:rPr>
        <w:rStyle w:val="14"/>
        <w:rFonts w:ascii="Times New Roman" w:hAnsi="Times New Roman" w:eastAsia="宋体" w:cs="Times New Roman"/>
        <w:sz w:val="24"/>
        <w:szCs w:val="24"/>
      </w:rPr>
      <w:fldChar w:fldCharType="separate"/>
    </w:r>
    <w:r>
      <w:rPr>
        <w:rStyle w:val="14"/>
        <w:rFonts w:ascii="Times New Roman" w:hAnsi="Times New Roman" w:eastAsia="宋体"/>
        <w:sz w:val="24"/>
        <w:szCs w:val="24"/>
      </w:rPr>
      <w:t>1</w:t>
    </w:r>
    <w:r>
      <w:rPr>
        <w:rStyle w:val="14"/>
        <w:rFonts w:ascii="Times New Roman" w:hAnsi="Times New Roman" w:eastAsia="宋体" w:cs="Times New Roman"/>
        <w:sz w:val="24"/>
        <w:szCs w:val="24"/>
      </w:rPr>
      <w:fldChar w:fldCharType="end"/>
    </w:r>
    <w:r>
      <w:rPr>
        <w:rStyle w:val="14"/>
        <w:rFonts w:ascii="宋体" w:hAnsi="宋体" w:eastAsia="宋体" w:cs="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Style w:val="14"/>
        <w:rFonts w:ascii="宋体" w:hAnsi="宋体" w:eastAsia="宋体" w:cs="宋体"/>
        <w:sz w:val="24"/>
        <w:szCs w:val="24"/>
      </w:rPr>
      <w:t xml:space="preserve">— </w:t>
    </w:r>
    <w:r>
      <w:rPr>
        <w:rStyle w:val="14"/>
        <w:rFonts w:ascii="Times New Roman" w:hAnsi="Times New Roman" w:eastAsia="宋体" w:cs="Times New Roman"/>
        <w:sz w:val="24"/>
        <w:szCs w:val="24"/>
      </w:rPr>
      <w:fldChar w:fldCharType="begin"/>
    </w:r>
    <w:r>
      <w:rPr>
        <w:rStyle w:val="14"/>
        <w:rFonts w:ascii="Times New Roman" w:hAnsi="Times New Roman" w:eastAsia="宋体" w:cs="Times New Roman"/>
        <w:sz w:val="24"/>
        <w:szCs w:val="24"/>
      </w:rPr>
      <w:instrText xml:space="preserve">PAGE  </w:instrText>
    </w:r>
    <w:r>
      <w:rPr>
        <w:rStyle w:val="14"/>
        <w:rFonts w:ascii="Times New Roman" w:hAnsi="Times New Roman" w:eastAsia="宋体" w:cs="Times New Roman"/>
        <w:sz w:val="24"/>
        <w:szCs w:val="24"/>
      </w:rPr>
      <w:fldChar w:fldCharType="separate"/>
    </w:r>
    <w:r>
      <w:rPr>
        <w:rStyle w:val="14"/>
        <w:rFonts w:ascii="Times New Roman" w:hAnsi="Times New Roman" w:eastAsia="宋体" w:cs="Times New Roman"/>
        <w:sz w:val="24"/>
        <w:szCs w:val="24"/>
      </w:rPr>
      <w:t>1</w:t>
    </w:r>
    <w:r>
      <w:rPr>
        <w:rStyle w:val="14"/>
        <w:rFonts w:ascii="Times New Roman" w:hAnsi="Times New Roman" w:eastAsia="宋体" w:cs="Times New Roman"/>
        <w:sz w:val="24"/>
        <w:szCs w:val="24"/>
      </w:rPr>
      <w:fldChar w:fldCharType="end"/>
    </w:r>
    <w:r>
      <w:rPr>
        <w:rStyle w:val="14"/>
        <w:rFonts w:ascii="宋体" w:hAnsi="宋体" w:eastAsia="宋体" w:cs="宋体"/>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153" w:hanging="4153"/>
      <w:jc w:val="right"/>
    </w:pPr>
    <w:r>
      <w:rPr>
        <w:rStyle w:val="14"/>
        <w:rFonts w:ascii="宋体" w:hAnsi="宋体" w:eastAsia="宋体" w:cs="宋体"/>
        <w:sz w:val="24"/>
        <w:szCs w:val="24"/>
      </w:rPr>
      <w:t xml:space="preserve">— </w:t>
    </w:r>
    <w:r>
      <w:rPr>
        <w:rStyle w:val="14"/>
        <w:rFonts w:ascii="Times New Roman" w:hAnsi="Times New Roman" w:eastAsia="宋体" w:cs="Times New Roman"/>
        <w:sz w:val="24"/>
        <w:szCs w:val="24"/>
      </w:rPr>
      <w:fldChar w:fldCharType="begin"/>
    </w:r>
    <w:r>
      <w:rPr>
        <w:rStyle w:val="14"/>
        <w:rFonts w:ascii="Times New Roman" w:hAnsi="Times New Roman" w:eastAsia="宋体" w:cs="Times New Roman"/>
        <w:sz w:val="24"/>
        <w:szCs w:val="24"/>
      </w:rPr>
      <w:instrText xml:space="preserve">PAGE  </w:instrText>
    </w:r>
    <w:r>
      <w:rPr>
        <w:rStyle w:val="14"/>
        <w:rFonts w:ascii="Times New Roman" w:hAnsi="Times New Roman" w:eastAsia="宋体" w:cs="Times New Roman"/>
        <w:sz w:val="24"/>
        <w:szCs w:val="24"/>
      </w:rPr>
      <w:fldChar w:fldCharType="separate"/>
    </w:r>
    <w:r>
      <w:rPr>
        <w:rStyle w:val="14"/>
        <w:rFonts w:ascii="Times New Roman" w:hAnsi="Times New Roman" w:eastAsia="宋体" w:cs="Times New Roman"/>
        <w:sz w:val="24"/>
      </w:rPr>
      <w:t>6</w:t>
    </w:r>
    <w:r>
      <w:rPr>
        <w:rStyle w:val="14"/>
        <w:rFonts w:ascii="Times New Roman" w:hAnsi="Times New Roman" w:eastAsia="宋体" w:cs="Times New Roman"/>
        <w:sz w:val="24"/>
        <w:szCs w:val="24"/>
      </w:rPr>
      <w:fldChar w:fldCharType="end"/>
    </w:r>
    <w:r>
      <w:rPr>
        <w:rStyle w:val="14"/>
        <w:rFonts w:ascii="宋体" w:hAnsi="宋体" w:eastAsia="宋体" w:cs="宋体"/>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7F46"/>
    <w:multiLevelType w:val="singleLevel"/>
    <w:tmpl w:val="60BD7F46"/>
    <w:lvl w:ilvl="0" w:tentative="0">
      <w:start w:val="1"/>
      <w:numFmt w:val="chineseCounting"/>
      <w:suff w:val="nothing"/>
      <w:lvlText w:val="（%1）"/>
      <w:lvlJc w:val="left"/>
      <w:pPr>
        <w:ind w:left="0" w:firstLine="420"/>
      </w:pPr>
      <w:rPr>
        <w:rFonts w:hint="eastAsia"/>
      </w:rPr>
    </w:lvl>
  </w:abstractNum>
  <w:abstractNum w:abstractNumId="1">
    <w:nsid w:val="60BD7F97"/>
    <w:multiLevelType w:val="singleLevel"/>
    <w:tmpl w:val="60BD7F97"/>
    <w:lvl w:ilvl="0" w:tentative="0">
      <w:start w:val="1"/>
      <w:numFmt w:val="chineseCounting"/>
      <w:suff w:val="nothing"/>
      <w:lvlText w:val="（%1）"/>
      <w:lvlJc w:val="left"/>
      <w:pPr>
        <w:ind w:left="0" w:firstLine="420"/>
      </w:pPr>
      <w:rPr>
        <w:rFonts w:hint="eastAsia"/>
      </w:rPr>
    </w:lvl>
  </w:abstractNum>
  <w:abstractNum w:abstractNumId="2">
    <w:nsid w:val="60BD806F"/>
    <w:multiLevelType w:val="singleLevel"/>
    <w:tmpl w:val="60BD806F"/>
    <w:lvl w:ilvl="0" w:tentative="0">
      <w:start w:val="1"/>
      <w:numFmt w:val="chineseCounting"/>
      <w:suff w:val="nothing"/>
      <w:lvlText w:val="（%1）"/>
      <w:lvlJc w:val="left"/>
      <w:pPr>
        <w:ind w:left="0" w:firstLine="420"/>
      </w:pPr>
      <w:rPr>
        <w:rFonts w:hint="eastAsia"/>
      </w:rPr>
    </w:lvl>
  </w:abstractNum>
  <w:abstractNum w:abstractNumId="3">
    <w:nsid w:val="60BD809A"/>
    <w:multiLevelType w:val="singleLevel"/>
    <w:tmpl w:val="60BD809A"/>
    <w:lvl w:ilvl="0" w:tentative="0">
      <w:start w:val="1"/>
      <w:numFmt w:val="chineseCounting"/>
      <w:suff w:val="nothing"/>
      <w:lvlText w:val="（%1）"/>
      <w:lvlJc w:val="left"/>
      <w:pPr>
        <w:ind w:left="0" w:firstLine="420"/>
      </w:pPr>
      <w:rPr>
        <w:rFonts w:hint="eastAsia"/>
      </w:rPr>
    </w:lvl>
  </w:abstractNum>
  <w:abstractNum w:abstractNumId="4">
    <w:nsid w:val="60BD80B2"/>
    <w:multiLevelType w:val="singleLevel"/>
    <w:tmpl w:val="60BD80B2"/>
    <w:lvl w:ilvl="0" w:tentative="0">
      <w:start w:val="1"/>
      <w:numFmt w:val="chineseCounting"/>
      <w:suff w:val="nothing"/>
      <w:lvlText w:val="（%1）"/>
      <w:lvlJc w:val="left"/>
      <w:pPr>
        <w:ind w:left="0" w:firstLine="420"/>
      </w:pPr>
      <w:rPr>
        <w:rFonts w:hint="eastAsia"/>
      </w:rPr>
    </w:lvl>
  </w:abstractNum>
  <w:abstractNum w:abstractNumId="5">
    <w:nsid w:val="60BD80E6"/>
    <w:multiLevelType w:val="singleLevel"/>
    <w:tmpl w:val="60BD80E6"/>
    <w:lvl w:ilvl="0" w:tentative="0">
      <w:start w:val="1"/>
      <w:numFmt w:val="chineseCounting"/>
      <w:suff w:val="nothing"/>
      <w:lvlText w:val="（%1）"/>
      <w:lvlJc w:val="left"/>
      <w:pPr>
        <w:ind w:left="0" w:firstLine="420"/>
      </w:pPr>
      <w:rPr>
        <w:rFonts w:hint="eastAsia"/>
      </w:rPr>
    </w:lvl>
  </w:abstractNum>
  <w:abstractNum w:abstractNumId="6">
    <w:nsid w:val="60BD8128"/>
    <w:multiLevelType w:val="singleLevel"/>
    <w:tmpl w:val="60BD8128"/>
    <w:lvl w:ilvl="0" w:tentative="0">
      <w:start w:val="1"/>
      <w:numFmt w:val="chineseCounting"/>
      <w:suff w:val="nothing"/>
      <w:lvlText w:val="（%1）"/>
      <w:lvlJc w:val="left"/>
      <w:pPr>
        <w:ind w:left="0" w:firstLine="420"/>
      </w:pPr>
      <w:rPr>
        <w:rFonts w:hint="eastAsia"/>
      </w:rPr>
    </w:lvl>
  </w:abstractNum>
  <w:abstractNum w:abstractNumId="7">
    <w:nsid w:val="60E510B4"/>
    <w:multiLevelType w:val="singleLevel"/>
    <w:tmpl w:val="60E510B4"/>
    <w:lvl w:ilvl="0" w:tentative="0">
      <w:start w:val="1"/>
      <w:numFmt w:val="decimal"/>
      <w:suff w:val="nothing"/>
      <w:lvlText w:val="%1．"/>
      <w:lvlJc w:val="left"/>
      <w:pPr>
        <w:ind w:left="0" w:firstLine="400"/>
      </w:pPr>
      <w:rPr>
        <w:rFonts w:hint="default"/>
      </w:rPr>
    </w:lvl>
  </w:abstractNum>
  <w:abstractNum w:abstractNumId="8">
    <w:nsid w:val="60F69572"/>
    <w:multiLevelType w:val="singleLevel"/>
    <w:tmpl w:val="60F69572"/>
    <w:lvl w:ilvl="0" w:tentative="0">
      <w:start w:val="1"/>
      <w:numFmt w:val="decimal"/>
      <w:suff w:val="nothing"/>
      <w:lvlText w:val="%1．"/>
      <w:lvlJc w:val="left"/>
      <w:pPr>
        <w:ind w:left="0" w:firstLine="400"/>
      </w:pPr>
      <w:rPr>
        <w:rFonts w:hint="default"/>
      </w:rPr>
    </w:lvl>
  </w:abstractNum>
  <w:abstractNum w:abstractNumId="9">
    <w:nsid w:val="60F69653"/>
    <w:multiLevelType w:val="singleLevel"/>
    <w:tmpl w:val="60F69653"/>
    <w:lvl w:ilvl="0" w:tentative="0">
      <w:start w:val="1"/>
      <w:numFmt w:val="decimal"/>
      <w:suff w:val="nothing"/>
      <w:lvlText w:val="%1．"/>
      <w:lvlJc w:val="left"/>
      <w:pPr>
        <w:ind w:left="0" w:firstLine="400"/>
      </w:pPr>
      <w:rPr>
        <w:rFonts w:hint="default"/>
      </w:rPr>
    </w:lvl>
  </w:abstractNum>
  <w:abstractNum w:abstractNumId="10">
    <w:nsid w:val="60F6C0A1"/>
    <w:multiLevelType w:val="singleLevel"/>
    <w:tmpl w:val="60F6C0A1"/>
    <w:lvl w:ilvl="0" w:tentative="0">
      <w:start w:val="1"/>
      <w:numFmt w:val="chineseCounting"/>
      <w:suff w:val="nothing"/>
      <w:lvlText w:val="（%1）"/>
      <w:lvlJc w:val="left"/>
      <w:pPr>
        <w:ind w:left="0" w:firstLine="420"/>
      </w:pPr>
      <w:rPr>
        <w:rFonts w:hint="eastAsia"/>
      </w:rPr>
    </w:lvl>
  </w:abstractNum>
  <w:abstractNum w:abstractNumId="11">
    <w:nsid w:val="613B156D"/>
    <w:multiLevelType w:val="singleLevel"/>
    <w:tmpl w:val="613B156D"/>
    <w:lvl w:ilvl="0" w:tentative="0">
      <w:start w:val="1"/>
      <w:numFmt w:val="chineseCounting"/>
      <w:suff w:val="nothing"/>
      <w:lvlText w:val="（%1）"/>
      <w:lvlJc w:val="left"/>
    </w:lvl>
  </w:abstractNum>
  <w:num w:numId="1">
    <w:abstractNumId w:val="5"/>
  </w:num>
  <w:num w:numId="2">
    <w:abstractNumId w:val="10"/>
  </w:num>
  <w:num w:numId="3">
    <w:abstractNumId w:val="4"/>
  </w:num>
  <w:num w:numId="4">
    <w:abstractNumId w:val="3"/>
  </w:num>
  <w:num w:numId="5">
    <w:abstractNumId w:val="2"/>
  </w:num>
  <w:num w:numId="6">
    <w:abstractNumId w:val="0"/>
  </w:num>
  <w:num w:numId="7">
    <w:abstractNumId w:val="1"/>
  </w:num>
  <w:num w:numId="8">
    <w:abstractNumId w:val="7"/>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val="1"/>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2D"/>
    <w:rsid w:val="0000341E"/>
    <w:rsid w:val="00016DC3"/>
    <w:rsid w:val="00032D6F"/>
    <w:rsid w:val="000429FA"/>
    <w:rsid w:val="00047B80"/>
    <w:rsid w:val="00047F27"/>
    <w:rsid w:val="000661D4"/>
    <w:rsid w:val="00072ABF"/>
    <w:rsid w:val="000827A3"/>
    <w:rsid w:val="00091A22"/>
    <w:rsid w:val="000A0656"/>
    <w:rsid w:val="000A32BC"/>
    <w:rsid w:val="000A4C4F"/>
    <w:rsid w:val="000C5DD0"/>
    <w:rsid w:val="000D0386"/>
    <w:rsid w:val="000E1656"/>
    <w:rsid w:val="00122EEF"/>
    <w:rsid w:val="00126652"/>
    <w:rsid w:val="0012765C"/>
    <w:rsid w:val="00145E9A"/>
    <w:rsid w:val="0014770C"/>
    <w:rsid w:val="0015724A"/>
    <w:rsid w:val="00157430"/>
    <w:rsid w:val="00162EA0"/>
    <w:rsid w:val="001913BB"/>
    <w:rsid w:val="001B6340"/>
    <w:rsid w:val="001C1232"/>
    <w:rsid w:val="001C1D4F"/>
    <w:rsid w:val="001C3652"/>
    <w:rsid w:val="001D1C72"/>
    <w:rsid w:val="001D4251"/>
    <w:rsid w:val="001E7C10"/>
    <w:rsid w:val="001F3E08"/>
    <w:rsid w:val="001F5F9C"/>
    <w:rsid w:val="00211620"/>
    <w:rsid w:val="00213710"/>
    <w:rsid w:val="002138BA"/>
    <w:rsid w:val="00215752"/>
    <w:rsid w:val="00215BA0"/>
    <w:rsid w:val="002227E3"/>
    <w:rsid w:val="00227246"/>
    <w:rsid w:val="00231909"/>
    <w:rsid w:val="002430A1"/>
    <w:rsid w:val="00247D2D"/>
    <w:rsid w:val="00261E29"/>
    <w:rsid w:val="00266960"/>
    <w:rsid w:val="00276334"/>
    <w:rsid w:val="0028127B"/>
    <w:rsid w:val="00284C3E"/>
    <w:rsid w:val="00286789"/>
    <w:rsid w:val="0029175A"/>
    <w:rsid w:val="00292D01"/>
    <w:rsid w:val="00293926"/>
    <w:rsid w:val="00296D22"/>
    <w:rsid w:val="002B129F"/>
    <w:rsid w:val="002C1920"/>
    <w:rsid w:val="002C485F"/>
    <w:rsid w:val="002D395C"/>
    <w:rsid w:val="002E16E7"/>
    <w:rsid w:val="002E2CB9"/>
    <w:rsid w:val="002E449D"/>
    <w:rsid w:val="002E6181"/>
    <w:rsid w:val="003002AB"/>
    <w:rsid w:val="003013F0"/>
    <w:rsid w:val="0030733E"/>
    <w:rsid w:val="00320E4B"/>
    <w:rsid w:val="00322ACB"/>
    <w:rsid w:val="00327031"/>
    <w:rsid w:val="00336AA0"/>
    <w:rsid w:val="003477D8"/>
    <w:rsid w:val="00357A6A"/>
    <w:rsid w:val="003615D1"/>
    <w:rsid w:val="0037087D"/>
    <w:rsid w:val="00373C05"/>
    <w:rsid w:val="00375711"/>
    <w:rsid w:val="003B7363"/>
    <w:rsid w:val="003C635F"/>
    <w:rsid w:val="003C7041"/>
    <w:rsid w:val="003D47B3"/>
    <w:rsid w:val="003E1C4C"/>
    <w:rsid w:val="003F1655"/>
    <w:rsid w:val="003F7CED"/>
    <w:rsid w:val="004261BA"/>
    <w:rsid w:val="004271DD"/>
    <w:rsid w:val="004329FE"/>
    <w:rsid w:val="00437774"/>
    <w:rsid w:val="00442656"/>
    <w:rsid w:val="00442F3E"/>
    <w:rsid w:val="00456C8A"/>
    <w:rsid w:val="00467904"/>
    <w:rsid w:val="00470171"/>
    <w:rsid w:val="00474EB3"/>
    <w:rsid w:val="00476496"/>
    <w:rsid w:val="0048071E"/>
    <w:rsid w:val="0048107A"/>
    <w:rsid w:val="00486597"/>
    <w:rsid w:val="00494EDF"/>
    <w:rsid w:val="0049701A"/>
    <w:rsid w:val="004A231B"/>
    <w:rsid w:val="004A4475"/>
    <w:rsid w:val="004B2D79"/>
    <w:rsid w:val="004B5F45"/>
    <w:rsid w:val="004B6245"/>
    <w:rsid w:val="004C3BD2"/>
    <w:rsid w:val="004C6D39"/>
    <w:rsid w:val="004C763B"/>
    <w:rsid w:val="004D71A1"/>
    <w:rsid w:val="004E5CAA"/>
    <w:rsid w:val="004F60F3"/>
    <w:rsid w:val="00500719"/>
    <w:rsid w:val="00503C8F"/>
    <w:rsid w:val="005044C9"/>
    <w:rsid w:val="00512DDF"/>
    <w:rsid w:val="00521A71"/>
    <w:rsid w:val="00525BDB"/>
    <w:rsid w:val="005307ED"/>
    <w:rsid w:val="00532F11"/>
    <w:rsid w:val="00537A4A"/>
    <w:rsid w:val="00574C55"/>
    <w:rsid w:val="00580D32"/>
    <w:rsid w:val="00593404"/>
    <w:rsid w:val="005A78C2"/>
    <w:rsid w:val="005B0DE3"/>
    <w:rsid w:val="005C6460"/>
    <w:rsid w:val="005D2281"/>
    <w:rsid w:val="005D7B4E"/>
    <w:rsid w:val="005E1DB4"/>
    <w:rsid w:val="005E722A"/>
    <w:rsid w:val="005F3873"/>
    <w:rsid w:val="005F6D27"/>
    <w:rsid w:val="00607913"/>
    <w:rsid w:val="006129D6"/>
    <w:rsid w:val="006225B1"/>
    <w:rsid w:val="00635B8A"/>
    <w:rsid w:val="00650E27"/>
    <w:rsid w:val="006570EB"/>
    <w:rsid w:val="00664426"/>
    <w:rsid w:val="00677301"/>
    <w:rsid w:val="00684612"/>
    <w:rsid w:val="00693307"/>
    <w:rsid w:val="006A3FB7"/>
    <w:rsid w:val="006B7321"/>
    <w:rsid w:val="006C3628"/>
    <w:rsid w:val="006C7368"/>
    <w:rsid w:val="006D241D"/>
    <w:rsid w:val="006D40DC"/>
    <w:rsid w:val="006D41A1"/>
    <w:rsid w:val="006E005C"/>
    <w:rsid w:val="006F02B3"/>
    <w:rsid w:val="007270BA"/>
    <w:rsid w:val="0073137E"/>
    <w:rsid w:val="007346AF"/>
    <w:rsid w:val="007449D6"/>
    <w:rsid w:val="00757C9B"/>
    <w:rsid w:val="007610BA"/>
    <w:rsid w:val="00761D7E"/>
    <w:rsid w:val="00762FD5"/>
    <w:rsid w:val="00764D57"/>
    <w:rsid w:val="00765AB7"/>
    <w:rsid w:val="0076724B"/>
    <w:rsid w:val="00770F0F"/>
    <w:rsid w:val="0078461E"/>
    <w:rsid w:val="007A2466"/>
    <w:rsid w:val="007A4FC2"/>
    <w:rsid w:val="007A5016"/>
    <w:rsid w:val="007A5F47"/>
    <w:rsid w:val="007A7227"/>
    <w:rsid w:val="007A7D5D"/>
    <w:rsid w:val="007B277E"/>
    <w:rsid w:val="007B5389"/>
    <w:rsid w:val="007B6FE8"/>
    <w:rsid w:val="007C226C"/>
    <w:rsid w:val="007D16E6"/>
    <w:rsid w:val="007D3947"/>
    <w:rsid w:val="007E65BA"/>
    <w:rsid w:val="007F1E17"/>
    <w:rsid w:val="0080542B"/>
    <w:rsid w:val="00814028"/>
    <w:rsid w:val="008165F1"/>
    <w:rsid w:val="008349B0"/>
    <w:rsid w:val="00853272"/>
    <w:rsid w:val="00856CD0"/>
    <w:rsid w:val="008737C0"/>
    <w:rsid w:val="00875C3D"/>
    <w:rsid w:val="00877A50"/>
    <w:rsid w:val="00882566"/>
    <w:rsid w:val="008A7EF4"/>
    <w:rsid w:val="008B6EB4"/>
    <w:rsid w:val="008C2182"/>
    <w:rsid w:val="008E0400"/>
    <w:rsid w:val="008E74CE"/>
    <w:rsid w:val="008F3AD8"/>
    <w:rsid w:val="009055CE"/>
    <w:rsid w:val="00940142"/>
    <w:rsid w:val="00945357"/>
    <w:rsid w:val="00946AA0"/>
    <w:rsid w:val="00952BB1"/>
    <w:rsid w:val="00953824"/>
    <w:rsid w:val="00955230"/>
    <w:rsid w:val="00963123"/>
    <w:rsid w:val="009755C2"/>
    <w:rsid w:val="009802F4"/>
    <w:rsid w:val="00982E8F"/>
    <w:rsid w:val="00987CF8"/>
    <w:rsid w:val="00990719"/>
    <w:rsid w:val="0099461D"/>
    <w:rsid w:val="00994C9A"/>
    <w:rsid w:val="00995829"/>
    <w:rsid w:val="0099763A"/>
    <w:rsid w:val="009D4F68"/>
    <w:rsid w:val="009D513A"/>
    <w:rsid w:val="009E11AA"/>
    <w:rsid w:val="009E2769"/>
    <w:rsid w:val="009E5597"/>
    <w:rsid w:val="009F59DF"/>
    <w:rsid w:val="009F65EF"/>
    <w:rsid w:val="00A00099"/>
    <w:rsid w:val="00A002A3"/>
    <w:rsid w:val="00A026B6"/>
    <w:rsid w:val="00A03722"/>
    <w:rsid w:val="00A03FE4"/>
    <w:rsid w:val="00A16FF4"/>
    <w:rsid w:val="00A21756"/>
    <w:rsid w:val="00A23268"/>
    <w:rsid w:val="00A27592"/>
    <w:rsid w:val="00A315E6"/>
    <w:rsid w:val="00A36015"/>
    <w:rsid w:val="00A44792"/>
    <w:rsid w:val="00A46E03"/>
    <w:rsid w:val="00A47205"/>
    <w:rsid w:val="00A47F5B"/>
    <w:rsid w:val="00A54F76"/>
    <w:rsid w:val="00A55FF3"/>
    <w:rsid w:val="00A715A6"/>
    <w:rsid w:val="00A72AED"/>
    <w:rsid w:val="00A75D87"/>
    <w:rsid w:val="00A75E38"/>
    <w:rsid w:val="00A77E5E"/>
    <w:rsid w:val="00A949F3"/>
    <w:rsid w:val="00AA2F1F"/>
    <w:rsid w:val="00AB4A2B"/>
    <w:rsid w:val="00AB6CFC"/>
    <w:rsid w:val="00AC14A2"/>
    <w:rsid w:val="00AF2785"/>
    <w:rsid w:val="00AF3273"/>
    <w:rsid w:val="00B03671"/>
    <w:rsid w:val="00B05B6A"/>
    <w:rsid w:val="00B06AB5"/>
    <w:rsid w:val="00B11A87"/>
    <w:rsid w:val="00B15994"/>
    <w:rsid w:val="00B2286B"/>
    <w:rsid w:val="00B23FA2"/>
    <w:rsid w:val="00B3469C"/>
    <w:rsid w:val="00B367FE"/>
    <w:rsid w:val="00B4231E"/>
    <w:rsid w:val="00B903D2"/>
    <w:rsid w:val="00B96386"/>
    <w:rsid w:val="00BA1DB6"/>
    <w:rsid w:val="00BA2026"/>
    <w:rsid w:val="00BC1DF5"/>
    <w:rsid w:val="00BE6AC1"/>
    <w:rsid w:val="00BE6AD1"/>
    <w:rsid w:val="00BF2B83"/>
    <w:rsid w:val="00BF6460"/>
    <w:rsid w:val="00C07E51"/>
    <w:rsid w:val="00C13E87"/>
    <w:rsid w:val="00C230E8"/>
    <w:rsid w:val="00C256AE"/>
    <w:rsid w:val="00C37B7C"/>
    <w:rsid w:val="00C4090C"/>
    <w:rsid w:val="00C4208D"/>
    <w:rsid w:val="00C510D8"/>
    <w:rsid w:val="00C57AD0"/>
    <w:rsid w:val="00C66635"/>
    <w:rsid w:val="00C76311"/>
    <w:rsid w:val="00C80F16"/>
    <w:rsid w:val="00C85F5F"/>
    <w:rsid w:val="00CA4133"/>
    <w:rsid w:val="00CA5E7F"/>
    <w:rsid w:val="00CB2727"/>
    <w:rsid w:val="00CB3186"/>
    <w:rsid w:val="00CB3760"/>
    <w:rsid w:val="00CB3BF8"/>
    <w:rsid w:val="00CD00BE"/>
    <w:rsid w:val="00CD2B28"/>
    <w:rsid w:val="00CE0AE5"/>
    <w:rsid w:val="00D03789"/>
    <w:rsid w:val="00D1265E"/>
    <w:rsid w:val="00D15112"/>
    <w:rsid w:val="00D2623D"/>
    <w:rsid w:val="00D35268"/>
    <w:rsid w:val="00D460F5"/>
    <w:rsid w:val="00D60C4B"/>
    <w:rsid w:val="00D634A7"/>
    <w:rsid w:val="00D82BA0"/>
    <w:rsid w:val="00D85527"/>
    <w:rsid w:val="00DB27D6"/>
    <w:rsid w:val="00DC2728"/>
    <w:rsid w:val="00DD19EA"/>
    <w:rsid w:val="00DD5836"/>
    <w:rsid w:val="00DD6BB0"/>
    <w:rsid w:val="00DE120F"/>
    <w:rsid w:val="00DE5638"/>
    <w:rsid w:val="00DE6D04"/>
    <w:rsid w:val="00DF0673"/>
    <w:rsid w:val="00DF3768"/>
    <w:rsid w:val="00E21347"/>
    <w:rsid w:val="00E25499"/>
    <w:rsid w:val="00E34BAB"/>
    <w:rsid w:val="00E41FF7"/>
    <w:rsid w:val="00E54AC7"/>
    <w:rsid w:val="00E57BBD"/>
    <w:rsid w:val="00E77885"/>
    <w:rsid w:val="00E8729D"/>
    <w:rsid w:val="00E87FCA"/>
    <w:rsid w:val="00E9238B"/>
    <w:rsid w:val="00EA480B"/>
    <w:rsid w:val="00EA644D"/>
    <w:rsid w:val="00EC223B"/>
    <w:rsid w:val="00ED0E54"/>
    <w:rsid w:val="00ED7FF7"/>
    <w:rsid w:val="00EE04FE"/>
    <w:rsid w:val="00EE15AB"/>
    <w:rsid w:val="00EE61BF"/>
    <w:rsid w:val="00F05D55"/>
    <w:rsid w:val="00F12ECA"/>
    <w:rsid w:val="00F14B82"/>
    <w:rsid w:val="00F23F88"/>
    <w:rsid w:val="00F425E7"/>
    <w:rsid w:val="00F557A0"/>
    <w:rsid w:val="00F729CD"/>
    <w:rsid w:val="00F739B8"/>
    <w:rsid w:val="00F815B7"/>
    <w:rsid w:val="00F82743"/>
    <w:rsid w:val="00F8558D"/>
    <w:rsid w:val="00FB3199"/>
    <w:rsid w:val="00FB5E81"/>
    <w:rsid w:val="00FB7DE1"/>
    <w:rsid w:val="00FC4803"/>
    <w:rsid w:val="00FC6DDD"/>
    <w:rsid w:val="00FC74E4"/>
    <w:rsid w:val="00FD6E10"/>
    <w:rsid w:val="00FE3F03"/>
    <w:rsid w:val="00FE4B26"/>
    <w:rsid w:val="00FE568E"/>
    <w:rsid w:val="00FF1528"/>
    <w:rsid w:val="033863B9"/>
    <w:rsid w:val="03E35D67"/>
    <w:rsid w:val="05784CAD"/>
    <w:rsid w:val="08470882"/>
    <w:rsid w:val="08917EA9"/>
    <w:rsid w:val="0C052FC1"/>
    <w:rsid w:val="0EC35F79"/>
    <w:rsid w:val="0ECE1063"/>
    <w:rsid w:val="10DB63F2"/>
    <w:rsid w:val="10EB2CEB"/>
    <w:rsid w:val="136A0061"/>
    <w:rsid w:val="13EA3334"/>
    <w:rsid w:val="195C1845"/>
    <w:rsid w:val="1A547F00"/>
    <w:rsid w:val="1A5B53E7"/>
    <w:rsid w:val="1F6B4DD4"/>
    <w:rsid w:val="22317AAA"/>
    <w:rsid w:val="22B75E4A"/>
    <w:rsid w:val="24027083"/>
    <w:rsid w:val="244B1C71"/>
    <w:rsid w:val="268250AF"/>
    <w:rsid w:val="26DD2F96"/>
    <w:rsid w:val="28804FB0"/>
    <w:rsid w:val="293C506F"/>
    <w:rsid w:val="294B268A"/>
    <w:rsid w:val="29666F2D"/>
    <w:rsid w:val="29C17C9D"/>
    <w:rsid w:val="2BFE7019"/>
    <w:rsid w:val="2D625939"/>
    <w:rsid w:val="2EDF1D48"/>
    <w:rsid w:val="30EC7853"/>
    <w:rsid w:val="32BE2269"/>
    <w:rsid w:val="33926E31"/>
    <w:rsid w:val="365D2E20"/>
    <w:rsid w:val="3BF357D9"/>
    <w:rsid w:val="3C6B0767"/>
    <w:rsid w:val="3D082FA4"/>
    <w:rsid w:val="3E3709A4"/>
    <w:rsid w:val="404E21BA"/>
    <w:rsid w:val="40692531"/>
    <w:rsid w:val="44762E3C"/>
    <w:rsid w:val="44E045FD"/>
    <w:rsid w:val="45F96748"/>
    <w:rsid w:val="462F4F42"/>
    <w:rsid w:val="467F0F5F"/>
    <w:rsid w:val="47746408"/>
    <w:rsid w:val="4E4A352F"/>
    <w:rsid w:val="4F705863"/>
    <w:rsid w:val="505D59A2"/>
    <w:rsid w:val="53540DD5"/>
    <w:rsid w:val="53727A0F"/>
    <w:rsid w:val="539B3A63"/>
    <w:rsid w:val="5415609C"/>
    <w:rsid w:val="54DA78C0"/>
    <w:rsid w:val="54E0070F"/>
    <w:rsid w:val="562C0C67"/>
    <w:rsid w:val="5807711C"/>
    <w:rsid w:val="59EBF2C1"/>
    <w:rsid w:val="5EA747EB"/>
    <w:rsid w:val="5F553C5A"/>
    <w:rsid w:val="607C33F4"/>
    <w:rsid w:val="60EF02A2"/>
    <w:rsid w:val="631332EB"/>
    <w:rsid w:val="63147060"/>
    <w:rsid w:val="63585C5E"/>
    <w:rsid w:val="63BE1963"/>
    <w:rsid w:val="65560843"/>
    <w:rsid w:val="696B3AFF"/>
    <w:rsid w:val="6CBD5492"/>
    <w:rsid w:val="6E811A12"/>
    <w:rsid w:val="6F146688"/>
    <w:rsid w:val="71F11E79"/>
    <w:rsid w:val="71F27CD1"/>
    <w:rsid w:val="72264E84"/>
    <w:rsid w:val="754602D2"/>
    <w:rsid w:val="76D80B8C"/>
    <w:rsid w:val="76F61641"/>
    <w:rsid w:val="786C139E"/>
    <w:rsid w:val="786F2F48"/>
    <w:rsid w:val="78C73812"/>
    <w:rsid w:val="7920214B"/>
    <w:rsid w:val="7DBE1571"/>
    <w:rsid w:val="7EBD8277"/>
    <w:rsid w:val="7FF14B04"/>
    <w:rsid w:val="7FF947D4"/>
    <w:rsid w:val="94FDB875"/>
    <w:rsid w:val="95BFCADB"/>
    <w:rsid w:val="BA7B6BD6"/>
    <w:rsid w:val="E37DF0C6"/>
    <w:rsid w:val="EF3E403D"/>
    <w:rsid w:val="EF9FEB6B"/>
    <w:rsid w:val="EFFF4AB4"/>
    <w:rsid w:val="FEFE78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2"/>
    <w:basedOn w:val="1"/>
    <w:next w:val="1"/>
    <w:link w:val="20"/>
    <w:qFormat/>
    <w:uiPriority w:val="99"/>
    <w:pPr>
      <w:keepNext/>
      <w:keepLines/>
      <w:spacing w:line="413" w:lineRule="auto"/>
      <w:outlineLvl w:val="1"/>
    </w:pPr>
    <w:rPr>
      <w:rFonts w:ascii="Arial" w:hAnsi="Arial" w:eastAsia="黑体" w:cs="Arial"/>
      <w:b/>
      <w:bCs/>
      <w:sz w:val="32"/>
      <w:szCs w:val="32"/>
    </w:rPr>
  </w:style>
  <w:style w:type="paragraph" w:styleId="3">
    <w:name w:val="heading 3"/>
    <w:basedOn w:val="1"/>
    <w:next w:val="1"/>
    <w:link w:val="500"/>
    <w:unhideWhenUsed/>
    <w:qFormat/>
    <w:locked/>
    <w:uiPriority w:val="0"/>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6"/>
    <w:semiHidden/>
    <w:qFormat/>
    <w:uiPriority w:val="99"/>
    <w:rPr>
      <w:b/>
      <w:bCs/>
    </w:rPr>
  </w:style>
  <w:style w:type="paragraph" w:styleId="5">
    <w:name w:val="annotation text"/>
    <w:basedOn w:val="1"/>
    <w:link w:val="21"/>
    <w:semiHidden/>
    <w:qFormat/>
    <w:uiPriority w:val="99"/>
    <w:pPr>
      <w:jc w:val="left"/>
    </w:pPr>
  </w:style>
  <w:style w:type="paragraph" w:styleId="6">
    <w:name w:val="table of authorities"/>
    <w:basedOn w:val="1"/>
    <w:next w:val="1"/>
    <w:unhideWhenUsed/>
    <w:qFormat/>
    <w:uiPriority w:val="99"/>
    <w:pPr>
      <w:spacing w:before="100" w:beforeAutospacing="1" w:after="100" w:afterAutospacing="1"/>
      <w:ind w:left="200" w:leftChars="200"/>
    </w:pPr>
    <w:rPr>
      <w:rFonts w:ascii="Calibri" w:hAnsi="Calibri" w:eastAsia="宋体" w:cs="Times New Roman"/>
    </w:rPr>
  </w:style>
  <w:style w:type="paragraph" w:styleId="7">
    <w:name w:val="Body Text"/>
    <w:basedOn w:val="1"/>
    <w:link w:val="501"/>
    <w:unhideWhenUsed/>
    <w:uiPriority w:val="99"/>
    <w:rPr>
      <w:rFonts w:ascii="Calibri" w:hAnsi="Calibri" w:eastAsia="宋体" w:cs="Times New Roman"/>
      <w:sz w:val="30"/>
      <w:szCs w:val="30"/>
    </w:rPr>
  </w:style>
  <w:style w:type="paragraph" w:styleId="8">
    <w:name w:val="Date"/>
    <w:basedOn w:val="1"/>
    <w:next w:val="1"/>
    <w:link w:val="22"/>
    <w:semiHidden/>
    <w:qFormat/>
    <w:uiPriority w:val="99"/>
    <w:pPr>
      <w:ind w:left="100" w:leftChars="2500"/>
    </w:pPr>
  </w:style>
  <w:style w:type="paragraph" w:styleId="9">
    <w:name w:val="Balloon Text"/>
    <w:basedOn w:val="1"/>
    <w:link w:val="23"/>
    <w:qFormat/>
    <w:uiPriority w:val="0"/>
    <w:rPr>
      <w:sz w:val="18"/>
      <w:szCs w:val="18"/>
    </w:rPr>
  </w:style>
  <w:style w:type="paragraph" w:styleId="10">
    <w:name w:val="footer"/>
    <w:basedOn w:val="1"/>
    <w:link w:val="24"/>
    <w:qFormat/>
    <w:uiPriority w:val="0"/>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14">
    <w:name w:val="page number"/>
    <w:basedOn w:val="13"/>
    <w:qFormat/>
    <w:uiPriority w:val="99"/>
  </w:style>
  <w:style w:type="character" w:styleId="15">
    <w:name w:val="FollowedHyperlink"/>
    <w:semiHidden/>
    <w:qFormat/>
    <w:uiPriority w:val="99"/>
    <w:rPr>
      <w:color w:val="800080"/>
      <w:u w:val="single"/>
    </w:rPr>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table" w:styleId="19">
    <w:name w:val="Table Grid"/>
    <w:basedOn w:val="18"/>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2 字符"/>
    <w:link w:val="2"/>
    <w:qFormat/>
    <w:uiPriority w:val="9"/>
    <w:rPr>
      <w:rFonts w:ascii="Cambria" w:hAnsi="Cambria" w:eastAsia="宋体" w:cs="Times New Roman"/>
      <w:b/>
      <w:bCs/>
      <w:sz w:val="32"/>
      <w:szCs w:val="32"/>
    </w:rPr>
  </w:style>
  <w:style w:type="character" w:customStyle="1" w:styleId="21">
    <w:name w:val="批注文字 字符"/>
    <w:link w:val="5"/>
    <w:semiHidden/>
    <w:qFormat/>
    <w:locked/>
    <w:uiPriority w:val="99"/>
    <w:rPr>
      <w:rFonts w:ascii="等线" w:hAnsi="等线" w:eastAsia="等线" w:cs="等线"/>
      <w:kern w:val="2"/>
      <w:sz w:val="22"/>
      <w:szCs w:val="22"/>
    </w:rPr>
  </w:style>
  <w:style w:type="character" w:customStyle="1" w:styleId="22">
    <w:name w:val="日期 字符"/>
    <w:link w:val="8"/>
    <w:semiHidden/>
    <w:qFormat/>
    <w:locked/>
    <w:uiPriority w:val="99"/>
    <w:rPr>
      <w:rFonts w:ascii="等线" w:hAnsi="等线" w:eastAsia="等线" w:cs="等线"/>
      <w:kern w:val="2"/>
      <w:sz w:val="22"/>
      <w:szCs w:val="22"/>
    </w:rPr>
  </w:style>
  <w:style w:type="character" w:customStyle="1" w:styleId="23">
    <w:name w:val="批注框文本 字符"/>
    <w:link w:val="9"/>
    <w:qFormat/>
    <w:locked/>
    <w:uiPriority w:val="0"/>
    <w:rPr>
      <w:sz w:val="18"/>
      <w:szCs w:val="18"/>
    </w:rPr>
  </w:style>
  <w:style w:type="character" w:customStyle="1" w:styleId="24">
    <w:name w:val="页脚 字符"/>
    <w:link w:val="10"/>
    <w:qFormat/>
    <w:locked/>
    <w:uiPriority w:val="0"/>
    <w:rPr>
      <w:sz w:val="18"/>
      <w:szCs w:val="18"/>
    </w:rPr>
  </w:style>
  <w:style w:type="character" w:customStyle="1" w:styleId="25">
    <w:name w:val="页眉 字符"/>
    <w:link w:val="11"/>
    <w:qFormat/>
    <w:locked/>
    <w:uiPriority w:val="0"/>
    <w:rPr>
      <w:sz w:val="18"/>
      <w:szCs w:val="18"/>
    </w:rPr>
  </w:style>
  <w:style w:type="character" w:customStyle="1" w:styleId="26">
    <w:name w:val="批注主题 字符"/>
    <w:link w:val="4"/>
    <w:semiHidden/>
    <w:qFormat/>
    <w:locked/>
    <w:uiPriority w:val="99"/>
    <w:rPr>
      <w:rFonts w:ascii="等线" w:hAnsi="等线" w:eastAsia="等线" w:cs="等线"/>
      <w:b/>
      <w:bCs/>
      <w:kern w:val="2"/>
      <w:sz w:val="22"/>
      <w:szCs w:val="22"/>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30">
    <w:name w:val="xl79"/>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textAlignment w:val="center"/>
    </w:pPr>
    <w:rPr>
      <w:rFonts w:ascii="宋体" w:hAnsi="宋体" w:eastAsia="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5">
    <w:name w:val="xl84"/>
    <w:basedOn w:val="1"/>
    <w:qFormat/>
    <w:uiPriority w:val="0"/>
    <w:pPr>
      <w:widowControl/>
      <w:pBdr>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6">
    <w:name w:val="xl85"/>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left"/>
      <w:textAlignment w:val="center"/>
    </w:pPr>
    <w:rPr>
      <w:rFonts w:ascii="宋体" w:hAnsi="宋体" w:eastAsia="宋体" w:cs="宋体"/>
      <w:kern w:val="0"/>
      <w:sz w:val="20"/>
      <w:szCs w:val="20"/>
    </w:rPr>
  </w:style>
  <w:style w:type="paragraph" w:customStyle="1" w:styleId="37">
    <w:name w:val="xl86"/>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8">
    <w:name w:val="xl87"/>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9">
    <w:name w:val="xl88"/>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40">
    <w:name w:val="xl89"/>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41">
    <w:name w:val="xl9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2">
    <w:name w:val="xl91"/>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3">
    <w:name w:val="xl9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4">
    <w:name w:val="xl93"/>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6">
    <w:name w:val="xl95"/>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7">
    <w:name w:val="xl96"/>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8">
    <w:name w:val="xl97"/>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9">
    <w:name w:val="xl98"/>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0">
    <w:name w:val="xl99"/>
    <w:basedOn w:val="1"/>
    <w:qFormat/>
    <w:uiPriority w:val="0"/>
    <w:pPr>
      <w:widowControl/>
      <w:pBdr>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1">
    <w:name w:val="xl100"/>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52">
    <w:name w:val="抄 送"/>
    <w:basedOn w:val="1"/>
    <w:qFormat/>
    <w:uiPriority w:val="0"/>
    <w:pPr>
      <w:framePr w:wrap="notBeside" w:vAnchor="margin" w:hAnchor="margin" w:yAlign="bottom"/>
    </w:pPr>
    <w:rPr>
      <w:rFonts w:ascii="Calibri" w:hAnsi="Calibri" w:eastAsia="仿宋_GB2312" w:cs="Calibri"/>
      <w:sz w:val="32"/>
      <w:szCs w:val="32"/>
    </w:rPr>
  </w:style>
  <w:style w:type="paragraph" w:customStyle="1" w:styleId="53">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4"/>
      <w:szCs w:val="24"/>
    </w:rPr>
  </w:style>
  <w:style w:type="paragraph" w:customStyle="1" w:styleId="5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6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6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63">
    <w:name w:val="xl75"/>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6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5">
    <w:name w:val="列出段落"/>
    <w:basedOn w:val="1"/>
    <w:qFormat/>
    <w:uiPriority w:val="99"/>
    <w:pPr>
      <w:ind w:firstLine="420" w:firstLineChars="200"/>
    </w:pPr>
    <w:rPr>
      <w:rFonts w:ascii="Calibri" w:hAnsi="Calibri" w:eastAsia="宋体" w:cs="Calibri"/>
    </w:rPr>
  </w:style>
  <w:style w:type="paragraph" w:customStyle="1" w:styleId="66">
    <w:name w:val="List Paragraph"/>
    <w:basedOn w:val="1"/>
    <w:qFormat/>
    <w:uiPriority w:val="99"/>
    <w:pPr>
      <w:ind w:firstLine="420" w:firstLineChars="200"/>
    </w:pPr>
  </w:style>
  <w:style w:type="paragraph" w:customStyle="1" w:styleId="67">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68">
    <w:name w:val="font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9">
    <w:name w:val="font2"/>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0">
    <w:name w:val="font3"/>
    <w:basedOn w:val="1"/>
    <w:qFormat/>
    <w:uiPriority w:val="0"/>
    <w:pPr>
      <w:widowControl/>
      <w:spacing w:before="100" w:beforeAutospacing="1" w:after="100" w:afterAutospacing="1"/>
      <w:jc w:val="left"/>
    </w:pPr>
    <w:rPr>
      <w:rFonts w:ascii="宋体" w:hAnsi="宋体" w:eastAsia="宋体" w:cs="宋体"/>
      <w:color w:val="FF0000"/>
      <w:kern w:val="0"/>
      <w:sz w:val="22"/>
      <w:szCs w:val="22"/>
    </w:rPr>
  </w:style>
  <w:style w:type="paragraph" w:customStyle="1" w:styleId="71">
    <w:name w:val="font4"/>
    <w:basedOn w:val="1"/>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2">
    <w:name w:val="font5"/>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3">
    <w:name w:val="font6"/>
    <w:basedOn w:val="1"/>
    <w:qFormat/>
    <w:uiPriority w:val="0"/>
    <w:pPr>
      <w:widowControl/>
      <w:spacing w:before="100" w:beforeAutospacing="1" w:after="100" w:afterAutospacing="1"/>
      <w:jc w:val="left"/>
    </w:pPr>
    <w:rPr>
      <w:rFonts w:ascii="宋体" w:hAnsi="宋体" w:eastAsia="宋体" w:cs="宋体"/>
      <w:b/>
      <w:bCs/>
      <w:color w:val="000000"/>
      <w:kern w:val="0"/>
    </w:rPr>
  </w:style>
  <w:style w:type="paragraph" w:customStyle="1" w:styleId="74">
    <w:name w:val="font7"/>
    <w:basedOn w:val="1"/>
    <w:uiPriority w:val="0"/>
    <w:pPr>
      <w:widowControl/>
      <w:spacing w:before="100" w:beforeAutospacing="1" w:after="100" w:afterAutospacing="1"/>
      <w:jc w:val="left"/>
    </w:pPr>
    <w:rPr>
      <w:rFonts w:ascii="DejaVu Sans" w:hAnsi="DejaVu Sans" w:eastAsia="宋体" w:cs="DejaVu Sans"/>
      <w:b/>
      <w:bCs/>
      <w:color w:val="000000"/>
      <w:kern w:val="0"/>
      <w:sz w:val="22"/>
      <w:szCs w:val="22"/>
    </w:rPr>
  </w:style>
  <w:style w:type="paragraph" w:customStyle="1" w:styleId="75">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6">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7">
    <w:name w:val="font1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8">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79">
    <w:name w:val="font12"/>
    <w:basedOn w:val="1"/>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80">
    <w:name w:val="font13"/>
    <w:basedOn w:val="1"/>
    <w:qFormat/>
    <w:uiPriority w:val="0"/>
    <w:pPr>
      <w:widowControl/>
      <w:spacing w:before="100" w:beforeAutospacing="1" w:after="100" w:afterAutospacing="1"/>
      <w:jc w:val="left"/>
    </w:pPr>
    <w:rPr>
      <w:rFonts w:ascii="宋体" w:hAnsi="宋体" w:eastAsia="宋体" w:cs="宋体"/>
      <w:b/>
      <w:bCs/>
      <w:color w:val="000000"/>
      <w:kern w:val="0"/>
      <w:sz w:val="22"/>
      <w:szCs w:val="22"/>
    </w:rPr>
  </w:style>
  <w:style w:type="paragraph" w:customStyle="1" w:styleId="81">
    <w:name w:val="font14"/>
    <w:basedOn w:val="1"/>
    <w:qFormat/>
    <w:uiPriority w:val="0"/>
    <w:pPr>
      <w:widowControl/>
      <w:spacing w:before="100" w:beforeAutospacing="1" w:after="100" w:afterAutospacing="1"/>
      <w:jc w:val="left"/>
    </w:pPr>
    <w:rPr>
      <w:rFonts w:ascii="宋体" w:hAnsi="宋体" w:eastAsia="宋体" w:cs="宋体"/>
      <w:b/>
      <w:bCs/>
      <w:color w:val="FF0000"/>
      <w:kern w:val="0"/>
      <w:sz w:val="22"/>
      <w:szCs w:val="22"/>
    </w:rPr>
  </w:style>
  <w:style w:type="paragraph" w:customStyle="1" w:styleId="82">
    <w:name w:val="font15"/>
    <w:basedOn w:val="1"/>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83">
    <w:name w:val="et2"/>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84">
    <w:name w:val="et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5">
    <w:name w:val="et4"/>
    <w:basedOn w:val="1"/>
    <w:uiPriority w:val="0"/>
    <w:pPr>
      <w:widowControl/>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86">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et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88">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89">
    <w:name w:val="et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90">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1">
    <w:name w:val="et1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b/>
      <w:bCs/>
      <w:color w:val="FF0000"/>
      <w:kern w:val="0"/>
      <w:sz w:val="24"/>
      <w:szCs w:val="24"/>
    </w:rPr>
  </w:style>
  <w:style w:type="paragraph" w:customStyle="1" w:styleId="92">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3">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4">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95">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96">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rPr>
  </w:style>
  <w:style w:type="paragraph" w:customStyle="1" w:styleId="97">
    <w:name w:val="et17"/>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98">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9">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0">
    <w:name w:val="et2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1">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2">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03">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4">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character" w:customStyle="1" w:styleId="105">
    <w:name w:val="font131"/>
    <w:basedOn w:val="13"/>
    <w:qFormat/>
    <w:uiPriority w:val="0"/>
    <w:rPr>
      <w:rFonts w:hint="eastAsia" w:ascii="宋体" w:hAnsi="宋体" w:eastAsia="宋体"/>
      <w:b/>
      <w:bCs/>
      <w:color w:val="000000"/>
      <w:sz w:val="22"/>
      <w:szCs w:val="22"/>
      <w:u w:val="none"/>
    </w:rPr>
  </w:style>
  <w:style w:type="character" w:customStyle="1" w:styleId="106">
    <w:name w:val="font71"/>
    <w:basedOn w:val="13"/>
    <w:qFormat/>
    <w:uiPriority w:val="0"/>
    <w:rPr>
      <w:rFonts w:hint="default" w:ascii="DejaVu Sans" w:hAnsi="DejaVu Sans" w:cs="DejaVu Sans"/>
      <w:b/>
      <w:bCs/>
      <w:color w:val="000000"/>
      <w:sz w:val="22"/>
      <w:szCs w:val="22"/>
      <w:u w:val="none"/>
    </w:rPr>
  </w:style>
  <w:style w:type="character" w:customStyle="1" w:styleId="107">
    <w:name w:val="font111"/>
    <w:basedOn w:val="13"/>
    <w:qFormat/>
    <w:uiPriority w:val="0"/>
    <w:rPr>
      <w:rFonts w:hint="default" w:ascii="Times New Roman" w:hAnsi="Times New Roman" w:cs="Times New Roman"/>
      <w:color w:val="000000"/>
      <w:sz w:val="24"/>
      <w:szCs w:val="24"/>
      <w:u w:val="none"/>
    </w:rPr>
  </w:style>
  <w:style w:type="character" w:customStyle="1" w:styleId="108">
    <w:name w:val="font21"/>
    <w:basedOn w:val="13"/>
    <w:uiPriority w:val="0"/>
    <w:rPr>
      <w:rFonts w:hint="eastAsia" w:ascii="宋体" w:hAnsi="宋体" w:eastAsia="宋体"/>
      <w:color w:val="000000"/>
      <w:sz w:val="24"/>
      <w:szCs w:val="24"/>
      <w:u w:val="none"/>
    </w:rPr>
  </w:style>
  <w:style w:type="paragraph" w:customStyle="1" w:styleId="10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character" w:customStyle="1" w:styleId="110">
    <w:name w:val="font41"/>
    <w:basedOn w:val="13"/>
    <w:qFormat/>
    <w:uiPriority w:val="0"/>
    <w:rPr>
      <w:rFonts w:hint="eastAsia" w:ascii="仿宋_GB2312" w:eastAsia="仿宋_GB2312"/>
      <w:color w:val="000000"/>
      <w:sz w:val="20"/>
      <w:szCs w:val="20"/>
      <w:u w:val="none"/>
    </w:rPr>
  </w:style>
  <w:style w:type="character" w:customStyle="1" w:styleId="111">
    <w:name w:val="font31"/>
    <w:basedOn w:val="13"/>
    <w:qFormat/>
    <w:uiPriority w:val="0"/>
    <w:rPr>
      <w:rFonts w:hint="eastAsia" w:ascii="仿宋_GB2312" w:eastAsia="仿宋_GB2312"/>
      <w:color w:val="FF0000"/>
      <w:sz w:val="20"/>
      <w:szCs w:val="20"/>
      <w:u w:val="none"/>
    </w:rPr>
  </w:style>
  <w:style w:type="paragraph" w:customStyle="1" w:styleId="112">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3">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4">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5">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6">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7">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8">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19">
    <w:name w:val="et3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0">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1">
    <w:name w:val="et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2">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3">
    <w:name w:val="et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4">
    <w:name w:val="et37"/>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5">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6">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7">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8">
    <w:name w:val="et4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9">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0">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1">
    <w:name w:val="et4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2">
    <w:name w:val="et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3">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4">
    <w:name w:val="et4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5">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6">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37">
    <w:name w:val="et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8">
    <w:name w:val="et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9">
    <w:name w:val="et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40">
    <w:name w:val="et53"/>
    <w:basedOn w:val="1"/>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4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6"/>
      <w:szCs w:val="16"/>
    </w:rPr>
  </w:style>
  <w:style w:type="paragraph" w:customStyle="1" w:styleId="14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3">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4">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6"/>
      <w:szCs w:val="16"/>
    </w:rPr>
  </w:style>
  <w:style w:type="paragraph" w:customStyle="1" w:styleId="14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b/>
      <w:bCs/>
      <w:kern w:val="0"/>
      <w:sz w:val="16"/>
      <w:szCs w:val="16"/>
    </w:rPr>
  </w:style>
  <w:style w:type="paragraph" w:customStyle="1" w:styleId="14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8">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9">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5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6"/>
      <w:szCs w:val="16"/>
    </w:rPr>
  </w:style>
  <w:style w:type="paragraph" w:customStyle="1" w:styleId="15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5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5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5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5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56">
    <w:name w:val="xl13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57">
    <w:name w:val="xl133"/>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8">
    <w:name w:val="xl13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5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1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6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6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0"/>
      <w:szCs w:val="20"/>
    </w:rPr>
  </w:style>
  <w:style w:type="paragraph" w:customStyle="1" w:styleId="16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6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70">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172">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3">
    <w:name w:val="xl16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4">
    <w:name w:val="xl16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167"/>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7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77">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78">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7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0">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2">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3">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4">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5">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6">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187">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89">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0">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1">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94">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6">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9">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200">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1">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2">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3">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4">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6"/>
      <w:szCs w:val="16"/>
    </w:rPr>
  </w:style>
  <w:style w:type="paragraph" w:customStyle="1" w:styleId="205">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16"/>
      <w:szCs w:val="16"/>
    </w:rPr>
  </w:style>
  <w:style w:type="paragraph" w:customStyle="1" w:styleId="206">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7">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8">
    <w:name w:val="xl2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09">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0">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1">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2">
    <w:name w:val="xl2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3">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4">
    <w:name w:val="xl2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15">
    <w:name w:val="xl2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216">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217">
    <w:name w:val="xl209"/>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218">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19">
    <w:name w:val="xl2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0">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1">
    <w:name w:val="xl2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2">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3">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4">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6"/>
      <w:szCs w:val="16"/>
    </w:rPr>
  </w:style>
  <w:style w:type="paragraph" w:customStyle="1" w:styleId="225">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26">
    <w:name w:val="xl6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27">
    <w:name w:val="xl6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228">
    <w:name w:val="xl6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29">
    <w:name w:val="xl6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0">
    <w:name w:val="xl6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1">
    <w:name w:val="xl6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2">
    <w:name w:val="xl6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3">
    <w:name w:val="xl6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4">
    <w:name w:val="xl628"/>
    <w:basedOn w:val="1"/>
    <w:qFormat/>
    <w:uiPriority w:val="0"/>
    <w:pPr>
      <w:widowControl/>
      <w:spacing w:before="100" w:beforeAutospacing="1" w:after="100" w:afterAutospacing="1"/>
      <w:jc w:val="center"/>
    </w:pPr>
    <w:rPr>
      <w:rFonts w:ascii="仿宋_GB2312" w:hAnsi="宋体" w:eastAsia="仿宋_GB2312" w:cs="宋体"/>
      <w:kern w:val="0"/>
      <w:sz w:val="18"/>
      <w:szCs w:val="18"/>
    </w:rPr>
  </w:style>
  <w:style w:type="paragraph" w:customStyle="1" w:styleId="235">
    <w:name w:val="xl6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36">
    <w:name w:val="xl6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7">
    <w:name w:val="xl6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8">
    <w:name w:val="xl6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39">
    <w:name w:val="xl6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0">
    <w:name w:val="xl6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1">
    <w:name w:val="xl6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2">
    <w:name w:val="xl6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333333"/>
      <w:kern w:val="0"/>
      <w:sz w:val="18"/>
      <w:szCs w:val="18"/>
    </w:rPr>
  </w:style>
  <w:style w:type="paragraph" w:customStyle="1" w:styleId="243">
    <w:name w:val="xl6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4">
    <w:name w:val="xl6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5">
    <w:name w:val="xl6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6">
    <w:name w:val="xl6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7">
    <w:name w:val="xl6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48">
    <w:name w:val="xl6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9">
    <w:name w:val="xl6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0">
    <w:name w:val="xl6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1">
    <w:name w:val="xl6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52">
    <w:name w:val="xl6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3">
    <w:name w:val="xl6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4">
    <w:name w:val="xl6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5">
    <w:name w:val="xl6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6">
    <w:name w:val="xl6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7">
    <w:name w:val="xl6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58">
    <w:name w:val="xl6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59">
    <w:name w:val="xl6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0">
    <w:name w:val="xl6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1">
    <w:name w:val="xl6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2">
    <w:name w:val="xl6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3">
    <w:name w:val="xl6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64">
    <w:name w:val="xl6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5">
    <w:name w:val="xl6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6">
    <w:name w:val="xl6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7">
    <w:name w:val="xl6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8">
    <w:name w:val="xl6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9">
    <w:name w:val="xl6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70">
    <w:name w:val="xl6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71">
    <w:name w:val="xl6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2">
    <w:name w:val="xl6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3">
    <w:name w:val="xl6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4">
    <w:name w:val="xl6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5">
    <w:name w:val="xl6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6">
    <w:name w:val="xl6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7">
    <w:name w:val="xl6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8">
    <w:name w:val="xl6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79">
    <w:name w:val="xl6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0">
    <w:name w:val="xl6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1">
    <w:name w:val="xl6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82">
    <w:name w:val="xl6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3">
    <w:name w:val="xl6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4">
    <w:name w:val="xl6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5">
    <w:name w:val="xl6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86">
    <w:name w:val="xl6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7">
    <w:name w:val="xl6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8">
    <w:name w:val="xl6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89">
    <w:name w:val="xl6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0">
    <w:name w:val="xl6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1">
    <w:name w:val="xl6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92">
    <w:name w:val="xl6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3">
    <w:name w:val="xl6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4">
    <w:name w:val="xl6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5">
    <w:name w:val="xl6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6">
    <w:name w:val="xl6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297">
    <w:name w:val="xl6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8">
    <w:name w:val="xl6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99">
    <w:name w:val="xl6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0">
    <w:name w:val="xl6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1">
    <w:name w:val="xl6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2">
    <w:name w:val="xl6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3">
    <w:name w:val="xl6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4">
    <w:name w:val="xl6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5">
    <w:name w:val="xl6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06">
    <w:name w:val="xl700"/>
    <w:basedOn w:val="1"/>
    <w:uiPriority w:val="0"/>
    <w:pPr>
      <w:widowControl/>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7">
    <w:name w:val="xl70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08">
    <w:name w:val="xl70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09">
    <w:name w:val="xl703"/>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0">
    <w:name w:val="xl704"/>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11">
    <w:name w:val="xl70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2">
    <w:name w:val="xl70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3">
    <w:name w:val="xl707"/>
    <w:basedOn w:val="1"/>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4">
    <w:name w:val="xl7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15">
    <w:name w:val="xl7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6">
    <w:name w:val="xl7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7">
    <w:name w:val="xl711"/>
    <w:basedOn w:val="1"/>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18">
    <w:name w:val="xl71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19">
    <w:name w:val="xl71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20">
    <w:name w:val="xl71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21">
    <w:name w:val="xl7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2">
    <w:name w:val="xl71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3">
    <w:name w:val="xl7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4">
    <w:name w:val="xl71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5">
    <w:name w:val="xl7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6">
    <w:name w:val="xl7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7">
    <w:name w:val="xl72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8">
    <w:name w:val="xl7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9">
    <w:name w:val="xl7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330">
    <w:name w:val="xl7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1">
    <w:name w:val="xl7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2">
    <w:name w:val="xl7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333333"/>
      <w:kern w:val="0"/>
      <w:sz w:val="18"/>
      <w:szCs w:val="18"/>
    </w:rPr>
  </w:style>
  <w:style w:type="paragraph" w:customStyle="1" w:styleId="333">
    <w:name w:val="xl7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4">
    <w:name w:val="xl7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5">
    <w:name w:val="xl7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6">
    <w:name w:val="xl7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7">
    <w:name w:val="xl7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8">
    <w:name w:val="xl7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39">
    <w:name w:val="xl7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0">
    <w:name w:val="xl7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1">
    <w:name w:val="xl73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2">
    <w:name w:val="xl73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3">
    <w:name w:val="xl73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44">
    <w:name w:val="xl7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345">
    <w:name w:val="xl7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6">
    <w:name w:val="xl7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7">
    <w:name w:val="xl7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8">
    <w:name w:val="xl7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9">
    <w:name w:val="xl7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0">
    <w:name w:val="xl7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1">
    <w:name w:val="xl7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2">
    <w:name w:val="xl7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3">
    <w:name w:val="xl7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4">
    <w:name w:val="xl7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5">
    <w:name w:val="xl7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6">
    <w:name w:val="xl750"/>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57">
    <w:name w:val="xl751"/>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58">
    <w:name w:val="xl752"/>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color w:val="FF0000"/>
      <w:kern w:val="0"/>
      <w:sz w:val="18"/>
      <w:szCs w:val="18"/>
    </w:rPr>
  </w:style>
  <w:style w:type="paragraph" w:customStyle="1" w:styleId="359">
    <w:name w:val="xl753"/>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60">
    <w:name w:val="xl754"/>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color w:val="FF0000"/>
      <w:kern w:val="0"/>
      <w:sz w:val="18"/>
      <w:szCs w:val="18"/>
    </w:rPr>
  </w:style>
  <w:style w:type="paragraph" w:customStyle="1" w:styleId="361">
    <w:name w:val="xl755"/>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2">
    <w:name w:val="xl756"/>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3">
    <w:name w:val="xl757"/>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18"/>
      <w:szCs w:val="18"/>
    </w:rPr>
  </w:style>
  <w:style w:type="paragraph" w:customStyle="1" w:styleId="364">
    <w:name w:val="xl758"/>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18"/>
      <w:szCs w:val="18"/>
    </w:rPr>
  </w:style>
  <w:style w:type="paragraph" w:customStyle="1" w:styleId="365">
    <w:name w:val="xl759"/>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18"/>
      <w:szCs w:val="18"/>
    </w:rPr>
  </w:style>
  <w:style w:type="paragraph" w:customStyle="1" w:styleId="366">
    <w:name w:val="xl760"/>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7">
    <w:name w:val="xl761"/>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8">
    <w:name w:val="xl762"/>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69">
    <w:name w:val="xl763"/>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70">
    <w:name w:val="xl764"/>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 w:val="18"/>
      <w:szCs w:val="18"/>
    </w:rPr>
  </w:style>
  <w:style w:type="paragraph" w:customStyle="1" w:styleId="371">
    <w:name w:val="xl765"/>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2">
    <w:name w:val="xl5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373">
    <w:name w:val="xl5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374">
    <w:name w:val="xl5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5">
    <w:name w:val="xl5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6">
    <w:name w:val="xl51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7">
    <w:name w:val="xl51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78">
    <w:name w:val="xl5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79">
    <w:name w:val="xl52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0">
    <w:name w:val="xl522"/>
    <w:basedOn w:val="1"/>
    <w:uiPriority w:val="0"/>
    <w:pPr>
      <w:widowControl/>
      <w:spacing w:before="100" w:beforeAutospacing="1" w:after="100" w:afterAutospacing="1"/>
      <w:jc w:val="center"/>
    </w:pPr>
    <w:rPr>
      <w:rFonts w:ascii="仿宋_GB2312" w:hAnsi="宋体" w:eastAsia="仿宋_GB2312" w:cs="宋体"/>
      <w:kern w:val="0"/>
      <w:sz w:val="18"/>
      <w:szCs w:val="18"/>
    </w:rPr>
  </w:style>
  <w:style w:type="paragraph" w:customStyle="1" w:styleId="381">
    <w:name w:val="xl5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82">
    <w:name w:val="xl5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3">
    <w:name w:val="xl5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4">
    <w:name w:val="xl5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5">
    <w:name w:val="xl5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6">
    <w:name w:val="xl5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7">
    <w:name w:val="xl52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88">
    <w:name w:val="xl5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333333"/>
      <w:kern w:val="0"/>
      <w:sz w:val="18"/>
      <w:szCs w:val="18"/>
    </w:rPr>
  </w:style>
  <w:style w:type="paragraph" w:customStyle="1" w:styleId="389">
    <w:name w:val="xl5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0">
    <w:name w:val="xl5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1">
    <w:name w:val="xl5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2">
    <w:name w:val="xl5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3">
    <w:name w:val="xl5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94">
    <w:name w:val="xl5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5">
    <w:name w:val="xl5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6">
    <w:name w:val="xl5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7">
    <w:name w:val="xl5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398">
    <w:name w:val="xl5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399">
    <w:name w:val="xl5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0">
    <w:name w:val="xl5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1">
    <w:name w:val="xl5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2">
    <w:name w:val="xl5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3">
    <w:name w:val="xl5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04">
    <w:name w:val="xl54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5">
    <w:name w:val="xl54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6">
    <w:name w:val="xl54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7">
    <w:name w:val="xl54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8">
    <w:name w:val="xl55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09">
    <w:name w:val="xl55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0">
    <w:name w:val="xl55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1">
    <w:name w:val="xl55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2">
    <w:name w:val="xl5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3">
    <w:name w:val="xl55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4">
    <w:name w:val="xl55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5">
    <w:name w:val="xl55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6">
    <w:name w:val="xl55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17">
    <w:name w:val="xl5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8">
    <w:name w:val="xl5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19">
    <w:name w:val="xl5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0">
    <w:name w:val="xl5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1">
    <w:name w:val="xl5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2">
    <w:name w:val="xl5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3">
    <w:name w:val="xl5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4">
    <w:name w:val="xl5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5">
    <w:name w:val="xl5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6">
    <w:name w:val="xl5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7">
    <w:name w:val="xl5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28">
    <w:name w:val="xl5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29">
    <w:name w:val="xl5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0">
    <w:name w:val="xl5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1">
    <w:name w:val="xl5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32">
    <w:name w:val="xl5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3">
    <w:name w:val="xl5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4">
    <w:name w:val="xl5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5">
    <w:name w:val="xl5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6">
    <w:name w:val="xl5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7">
    <w:name w:val="xl5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38">
    <w:name w:val="xl5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39">
    <w:name w:val="xl5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0">
    <w:name w:val="xl5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1">
    <w:name w:val="xl5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2">
    <w:name w:val="xl5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43">
    <w:name w:val="xl5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44">
    <w:name w:val="xl5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5">
    <w:name w:val="xl5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6">
    <w:name w:val="xl5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7">
    <w:name w:val="xl5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8">
    <w:name w:val="xl5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49">
    <w:name w:val="xl5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0">
    <w:name w:val="xl5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1">
    <w:name w:val="xl5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2">
    <w:name w:val="xl5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3">
    <w:name w:val="xl5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4">
    <w:name w:val="xl5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5">
    <w:name w:val="xl5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6">
    <w:name w:val="xl5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7">
    <w:name w:val="xl5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8">
    <w:name w:val="xl6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59">
    <w:name w:val="xl6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0">
    <w:name w:val="xl6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61">
    <w:name w:val="xl6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2">
    <w:name w:val="xl6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3">
    <w:name w:val="xl6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4">
    <w:name w:val="xl6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5">
    <w:name w:val="xl6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6">
    <w:name w:val="xl6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7">
    <w:name w:val="xl6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68">
    <w:name w:val="xl6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69">
    <w:name w:val="xl6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0">
    <w:name w:val="xl6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1">
    <w:name w:val="xl6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2">
    <w:name w:val="xl6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3">
    <w:name w:val="xl6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74">
    <w:name w:val="xl6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475">
    <w:name w:val="xl6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6">
    <w:name w:val="xl6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7">
    <w:name w:val="xl6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478">
    <w:name w:val="xl111"/>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9">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0">
    <w:name w:val="xl113"/>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1">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2">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3">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4">
    <w:name w:val="xl1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5">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Times New Roman" w:hAnsi="Times New Roman" w:eastAsia="宋体" w:cs="Times New Roman"/>
      <w:kern w:val="0"/>
      <w:sz w:val="20"/>
      <w:szCs w:val="20"/>
    </w:rPr>
  </w:style>
  <w:style w:type="paragraph" w:customStyle="1" w:styleId="486">
    <w:name w:val="xl119"/>
    <w:basedOn w:val="1"/>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7">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88">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489">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0">
    <w:name w:val="xl12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1">
    <w:name w:val="xl12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92">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3">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94">
    <w:name w:val="xl2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495">
    <w:name w:val="xl21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paragraph" w:customStyle="1" w:styleId="496">
    <w:name w:val="xl2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18"/>
      <w:szCs w:val="18"/>
    </w:rPr>
  </w:style>
  <w:style w:type="character" w:customStyle="1" w:styleId="497">
    <w:name w:val="font51"/>
    <w:basedOn w:val="13"/>
    <w:qFormat/>
    <w:uiPriority w:val="0"/>
    <w:rPr>
      <w:rFonts w:hint="default" w:ascii="Times New Roman" w:hAnsi="Times New Roman" w:cs="Times New Roman"/>
      <w:color w:val="000000"/>
      <w:sz w:val="18"/>
      <w:szCs w:val="18"/>
      <w:u w:val="none"/>
    </w:rPr>
  </w:style>
  <w:style w:type="character" w:customStyle="1" w:styleId="498">
    <w:name w:val="font01"/>
    <w:basedOn w:val="13"/>
    <w:qFormat/>
    <w:uiPriority w:val="0"/>
    <w:rPr>
      <w:rFonts w:hint="eastAsia" w:ascii="仿宋_GB2312" w:eastAsia="仿宋_GB2312" w:cs="仿宋_GB2312"/>
      <w:b/>
      <w:color w:val="000000"/>
      <w:sz w:val="18"/>
      <w:szCs w:val="18"/>
      <w:u w:val="none"/>
    </w:rPr>
  </w:style>
  <w:style w:type="character" w:customStyle="1" w:styleId="499">
    <w:name w:val="font61"/>
    <w:basedOn w:val="13"/>
    <w:uiPriority w:val="0"/>
    <w:rPr>
      <w:rFonts w:hint="default" w:ascii="Times New Roman" w:hAnsi="Times New Roman" w:cs="Times New Roman"/>
      <w:color w:val="000000"/>
      <w:sz w:val="18"/>
      <w:szCs w:val="18"/>
      <w:u w:val="none"/>
    </w:rPr>
  </w:style>
  <w:style w:type="character" w:customStyle="1" w:styleId="500">
    <w:name w:val="标题 3 字符"/>
    <w:basedOn w:val="13"/>
    <w:link w:val="3"/>
    <w:semiHidden/>
    <w:uiPriority w:val="0"/>
    <w:rPr>
      <w:rFonts w:ascii="等线" w:hAnsi="等线" w:eastAsia="等线" w:cs="等线"/>
      <w:b/>
      <w:bCs/>
      <w:kern w:val="2"/>
      <w:sz w:val="32"/>
      <w:szCs w:val="32"/>
    </w:rPr>
  </w:style>
  <w:style w:type="character" w:customStyle="1" w:styleId="501">
    <w:name w:val="正文文本 字符"/>
    <w:basedOn w:val="13"/>
    <w:link w:val="7"/>
    <w:semiHidden/>
    <w:uiPriority w:val="99"/>
    <w:rPr>
      <w:rFonts w:ascii="Calibri" w:hAnsi="Calibri"/>
      <w:kern w:val="2"/>
      <w:sz w:val="30"/>
      <w:szCs w:val="30"/>
    </w:rPr>
  </w:style>
  <w:style w:type="character" w:customStyle="1" w:styleId="502">
    <w:name w:val="font81"/>
    <w:basedOn w:val="13"/>
    <w:uiPriority w:val="0"/>
    <w:rPr>
      <w:rFonts w:hint="eastAsia" w:ascii="宋体" w:hAnsi="宋体" w:eastAsia="宋体"/>
      <w:color w:val="000000"/>
      <w:sz w:val="28"/>
      <w:szCs w:val="28"/>
      <w:u w:val="none"/>
    </w:rPr>
  </w:style>
  <w:style w:type="character" w:customStyle="1" w:styleId="503">
    <w:name w:val="条 Char"/>
    <w:basedOn w:val="13"/>
    <w:link w:val="504"/>
    <w:uiPriority w:val="0"/>
    <w:rPr>
      <w:rFonts w:ascii="黑体" w:eastAsia="黑体"/>
      <w:sz w:val="22"/>
      <w:szCs w:val="22"/>
    </w:rPr>
  </w:style>
  <w:style w:type="paragraph" w:customStyle="1" w:styleId="504">
    <w:name w:val="条"/>
    <w:basedOn w:val="1"/>
    <w:link w:val="503"/>
    <w:uiPriority w:val="0"/>
    <w:pPr>
      <w:spacing w:line="360" w:lineRule="exact"/>
      <w:ind w:firstLine="200" w:firstLineChars="200"/>
    </w:pPr>
    <w:rPr>
      <w:rFonts w:ascii="黑体" w:hAnsi="Times New Roman" w:eastAsia="黑体" w:cs="Times New Roman"/>
      <w:kern w:val="0"/>
      <w:sz w:val="22"/>
      <w:szCs w:val="22"/>
    </w:rPr>
  </w:style>
  <w:style w:type="paragraph" w:customStyle="1" w:styleId="505">
    <w:name w:val="列出段落1"/>
    <w:basedOn w:val="1"/>
    <w:qFormat/>
    <w:uiPriority w:val="0"/>
    <w:pPr>
      <w:ind w:firstLine="20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231B6-CC00-4725-9161-A80BA2CD73E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1251</Words>
  <Characters>7137</Characters>
  <Lines>59</Lines>
  <Paragraphs>16</Paragraphs>
  <TotalTime>0</TotalTime>
  <ScaleCrop>false</ScaleCrop>
  <LinksUpToDate>false</LinksUpToDate>
  <CharactersWithSpaces>8372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2020-08-31T09:23:00Z</dcterms:created>
  <dc:creator>微软用户</dc:creator>
  <cp:lastModifiedBy>曹晓平</cp:lastModifiedBy>
  <cp:lastPrinted>2022-04-24T02:24:00Z</cp:lastPrinted>
  <dcterms:modified xsi:type="dcterms:W3CDTF">2022-06-14T00:32:20Z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