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shd w:val="clear" w:color="auto" w:fill="auto"/>
        <w:jc w:val="both"/>
        <w:rPr>
          <w:rFonts w:hint="eastAsia" w:ascii="黑体" w:hAnsi="黑体" w:eastAsia="黑体" w:cs="黑体"/>
          <w:color w:val="FF0000"/>
          <w:sz w:val="32"/>
          <w:szCs w:val="32"/>
          <w:u w:val="none"/>
          <w:lang w:val="en-US" w:eastAsia="zh-CN"/>
        </w:rPr>
      </w:pPr>
    </w:p>
    <w:p>
      <w:pPr>
        <w:keepNext w:val="0"/>
        <w:keepLines w:val="0"/>
        <w:pageBreakBefore w:val="0"/>
        <w:widowControl w:val="0"/>
        <w:shd w:val="clear" w:color="auto" w:fill="auto"/>
        <w:kinsoku/>
        <w:wordWrap/>
        <w:overflowPunct/>
        <w:topLinePunct w:val="0"/>
        <w:bidi w:val="0"/>
        <w:spacing w:line="360" w:lineRule="auto"/>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b/>
          <w:bCs/>
          <w:sz w:val="36"/>
          <w:szCs w:val="36"/>
          <w:lang w:val="en-US" w:eastAsia="zh-CN"/>
        </w:rPr>
        <w:t xml:space="preserve">  </w:t>
      </w:r>
      <w:r>
        <w:rPr>
          <w:rFonts w:hint="eastAsia" w:ascii="方正小标宋简体" w:hAnsi="方正小标宋简体" w:eastAsia="方正小标宋简体" w:cs="方正小标宋简体"/>
          <w:sz w:val="36"/>
          <w:szCs w:val="36"/>
          <w:lang w:val="en-US" w:eastAsia="zh-CN"/>
        </w:rPr>
        <w:t>黄石市财政局2022年度部门决算</w:t>
      </w:r>
    </w:p>
    <w:p>
      <w:pPr>
        <w:keepNext w:val="0"/>
        <w:keepLines w:val="0"/>
        <w:pageBreakBefore w:val="0"/>
        <w:widowControl w:val="0"/>
        <w:shd w:val="clear" w:color="auto" w:fill="auto"/>
        <w:kinsoku/>
        <w:wordWrap/>
        <w:overflowPunct/>
        <w:topLinePunct w:val="0"/>
        <w:bidi w:val="0"/>
        <w:spacing w:before="240" w:after="240" w:line="360" w:lineRule="auto"/>
        <w:jc w:val="both"/>
        <w:textAlignment w:val="auto"/>
        <w:outlineLvl w:val="9"/>
        <w:rPr>
          <w:rFonts w:hint="eastAsia" w:ascii="方正小标宋简体" w:hAnsi="方正小标宋简体" w:eastAsia="方正小标宋简体" w:cs="方正小标宋简体"/>
          <w:sz w:val="36"/>
          <w:szCs w:val="36"/>
          <w:lang w:val="en-US" w:eastAsia="zh-CN"/>
        </w:rPr>
      </w:pPr>
    </w:p>
    <w:p>
      <w:pPr>
        <w:keepNext w:val="0"/>
        <w:keepLines w:val="0"/>
        <w:pageBreakBefore w:val="0"/>
        <w:widowControl w:val="0"/>
        <w:shd w:val="clear" w:color="auto" w:fill="auto"/>
        <w:kinsoku/>
        <w:wordWrap/>
        <w:overflowPunct/>
        <w:topLinePunct w:val="0"/>
        <w:bidi w:val="0"/>
        <w:spacing w:before="240" w:after="240" w:line="360" w:lineRule="auto"/>
        <w:ind w:firstLine="640"/>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目    录</w:t>
      </w:r>
    </w:p>
    <w:p>
      <w:pPr>
        <w:keepNext w:val="0"/>
        <w:keepLines w:val="0"/>
        <w:pageBreakBefore w:val="0"/>
        <w:widowControl w:val="0"/>
        <w:shd w:val="clear" w:color="auto" w:fill="auto"/>
        <w:kinsoku/>
        <w:wordWrap/>
        <w:overflowPunct/>
        <w:topLinePunct w:val="0"/>
        <w:autoSpaceDE/>
        <w:autoSpaceDN/>
        <w:bidi w:val="0"/>
        <w:spacing w:before="240" w:after="240" w:line="360" w:lineRule="auto"/>
        <w:ind w:firstLine="640"/>
        <w:jc w:val="both"/>
        <w:textAlignment w:val="auto"/>
        <w:outlineLvl w:val="9"/>
        <w:rPr>
          <w:rFonts w:hint="eastAsia" w:ascii="黑体" w:hAnsi="黑体" w:eastAsia="黑体" w:cs="黑体"/>
        </w:rPr>
      </w:pPr>
      <w:r>
        <w:rPr>
          <w:rStyle w:val="6"/>
          <w:rFonts w:hint="eastAsia" w:ascii="黑体" w:hAnsi="黑体" w:eastAsia="黑体" w:cs="黑体"/>
          <w:sz w:val="32"/>
          <w:szCs w:val="32"/>
          <w:rtl w:val="0"/>
        </w:rPr>
        <w:t>第一部分</w:t>
      </w:r>
      <w:r>
        <w:rPr>
          <w:rStyle w:val="6"/>
          <w:rFonts w:hint="eastAsia" w:ascii="黑体" w:hAnsi="黑体" w:eastAsia="黑体" w:cs="黑体"/>
          <w:sz w:val="32"/>
          <w:szCs w:val="32"/>
          <w:rtl w:val="0"/>
          <w:lang w:val="en-US" w:eastAsia="en-US"/>
        </w:rPr>
        <w:t xml:space="preserve">  </w:t>
      </w:r>
      <w:r>
        <w:rPr>
          <w:rStyle w:val="6"/>
          <w:rFonts w:hint="eastAsia" w:ascii="黑体" w:hAnsi="黑体" w:eastAsia="黑体" w:cs="黑体"/>
          <w:sz w:val="32"/>
          <w:szCs w:val="32"/>
          <w:u w:val="none"/>
          <w:rtl w:val="0"/>
          <w:lang w:val="en-US" w:eastAsia="zh-CN"/>
        </w:rPr>
        <w:t>黄石市财政局</w:t>
      </w:r>
      <w:r>
        <w:rPr>
          <w:rStyle w:val="6"/>
          <w:rFonts w:hint="eastAsia" w:ascii="黑体" w:hAnsi="黑体" w:eastAsia="黑体" w:cs="黑体"/>
          <w:sz w:val="32"/>
          <w:szCs w:val="32"/>
          <w:rtl w:val="0"/>
        </w:rPr>
        <w:t>概况</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right="-781" w:rightChars="-244" w:firstLine="640" w:firstLineChars="200"/>
        <w:jc w:val="both"/>
        <w:textAlignment w:val="auto"/>
        <w:outlineLvl w:val="9"/>
        <w:rPr>
          <w:rFonts w:hint="eastAsia" w:ascii="仿宋_GB2312" w:hAnsi="宋体" w:eastAsia="仿宋_GB2312" w:cs="Times New Roman"/>
          <w:bCs/>
          <w:sz w:val="32"/>
          <w:szCs w:val="32"/>
          <w:highlight w:val="none"/>
          <w:lang w:eastAsia="zh-CN"/>
        </w:rPr>
      </w:pPr>
      <w:r>
        <w:rPr>
          <w:rFonts w:hint="eastAsia" w:ascii="仿宋_GB2312" w:hAnsi="宋体" w:eastAsia="仿宋_GB2312" w:cs="Times New Roman"/>
          <w:bCs/>
          <w:sz w:val="32"/>
          <w:szCs w:val="32"/>
          <w:highlight w:val="none"/>
          <w:rtl w:val="0"/>
        </w:rPr>
        <w:t>一、部门主要</w:t>
      </w:r>
      <w:r>
        <w:rPr>
          <w:rFonts w:hint="eastAsia" w:ascii="仿宋_GB2312" w:hAnsi="宋体" w:cs="Times New Roman"/>
          <w:bCs/>
          <w:sz w:val="32"/>
          <w:szCs w:val="32"/>
          <w:highlight w:val="none"/>
          <w:rtl w:val="0"/>
          <w:lang w:eastAsia="zh-CN"/>
        </w:rPr>
        <w:t>职责</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right="-781" w:rightChars="-244" w:firstLine="640" w:firstLineChars="200"/>
        <w:jc w:val="both"/>
        <w:textAlignment w:val="auto"/>
        <w:outlineLvl w:val="9"/>
        <w:rPr>
          <w:rFonts w:hint="eastAsia" w:ascii="仿宋_GB2312" w:hAnsi="宋体" w:eastAsia="仿宋_GB2312" w:cs="Times New Roman"/>
          <w:bCs/>
          <w:sz w:val="32"/>
          <w:szCs w:val="32"/>
          <w:highlight w:val="none"/>
          <w:lang w:eastAsia="zh-CN"/>
        </w:rPr>
      </w:pPr>
      <w:r>
        <w:rPr>
          <w:rFonts w:hint="eastAsia" w:ascii="仿宋_GB2312" w:hAnsi="宋体" w:eastAsia="仿宋_GB2312" w:cs="Times New Roman"/>
          <w:bCs/>
          <w:sz w:val="32"/>
          <w:szCs w:val="32"/>
          <w:highlight w:val="none"/>
          <w:rtl w:val="0"/>
        </w:rPr>
        <w:t>二、</w:t>
      </w:r>
      <w:r>
        <w:rPr>
          <w:rFonts w:hint="eastAsia" w:ascii="仿宋_GB2312" w:hAnsi="宋体" w:cs="Times New Roman"/>
          <w:bCs/>
          <w:sz w:val="32"/>
          <w:szCs w:val="32"/>
          <w:highlight w:val="none"/>
          <w:rtl w:val="0"/>
          <w:lang w:eastAsia="zh-CN"/>
        </w:rPr>
        <w:t>机构设置情况</w:t>
      </w:r>
    </w:p>
    <w:p>
      <w:pPr>
        <w:keepNext w:val="0"/>
        <w:keepLines w:val="0"/>
        <w:pageBreakBefore w:val="0"/>
        <w:widowControl w:val="0"/>
        <w:shd w:val="clear" w:color="auto" w:fill="auto"/>
        <w:kinsoku/>
        <w:wordWrap/>
        <w:overflowPunct/>
        <w:topLinePunct w:val="0"/>
        <w:autoSpaceDE/>
        <w:autoSpaceDN/>
        <w:bidi w:val="0"/>
        <w:spacing w:before="240" w:after="240" w:line="360" w:lineRule="auto"/>
        <w:ind w:firstLine="640"/>
        <w:jc w:val="both"/>
        <w:textAlignment w:val="auto"/>
        <w:outlineLvl w:val="9"/>
      </w:pPr>
      <w:r>
        <w:rPr>
          <w:rStyle w:val="6"/>
          <w:rFonts w:ascii="黑体" w:hAnsi="黑体" w:eastAsia="黑体" w:cs="黑体"/>
          <w:sz w:val="32"/>
          <w:szCs w:val="32"/>
          <w:rtl w:val="0"/>
        </w:rPr>
        <w:t>第二部分</w:t>
      </w:r>
      <w:r>
        <w:rPr>
          <w:rStyle w:val="6"/>
          <w:rFonts w:ascii="黑体" w:hAnsi="黑体" w:eastAsia="黑体" w:cs="黑体"/>
          <w:sz w:val="32"/>
          <w:szCs w:val="32"/>
          <w:rtl w:val="0"/>
          <w:lang w:val="en-US" w:eastAsia="en-US"/>
        </w:rPr>
        <w:t> </w:t>
      </w:r>
      <w:r>
        <w:rPr>
          <w:rStyle w:val="6"/>
          <w:rFonts w:hint="eastAsia" w:ascii="黑体" w:hAnsi="黑体" w:eastAsia="黑体" w:cs="黑体"/>
          <w:sz w:val="32"/>
          <w:szCs w:val="32"/>
          <w:rtl w:val="0"/>
          <w:lang w:val="en-US" w:eastAsia="zh-CN"/>
        </w:rPr>
        <w:t xml:space="preserve"> </w:t>
      </w:r>
      <w:r>
        <w:rPr>
          <w:rStyle w:val="6"/>
          <w:rFonts w:hint="eastAsia" w:ascii="黑体" w:hAnsi="黑体" w:eastAsia="黑体" w:cs="黑体"/>
          <w:sz w:val="32"/>
          <w:szCs w:val="32"/>
          <w:u w:val="none"/>
          <w:rtl w:val="0"/>
          <w:lang w:val="en-US" w:eastAsia="zh-CN"/>
        </w:rPr>
        <w:t>黄石市财政局</w:t>
      </w:r>
      <w:r>
        <w:rPr>
          <w:rStyle w:val="6"/>
          <w:rFonts w:ascii="黑体" w:hAnsi="黑体" w:eastAsia="黑体" w:cs="黑体"/>
          <w:sz w:val="32"/>
          <w:szCs w:val="32"/>
          <w:rtl w:val="0"/>
          <w:lang w:val="en-US" w:eastAsia="en-US"/>
        </w:rPr>
        <w:t>20</w:t>
      </w:r>
      <w:r>
        <w:rPr>
          <w:rStyle w:val="6"/>
          <w:rFonts w:hint="eastAsia" w:ascii="黑体" w:hAnsi="黑体" w:eastAsia="黑体" w:cs="黑体"/>
          <w:sz w:val="32"/>
          <w:szCs w:val="32"/>
          <w:rtl w:val="0"/>
          <w:lang w:val="en-US" w:eastAsia="zh-CN"/>
        </w:rPr>
        <w:t>22</w:t>
      </w:r>
      <w:r>
        <w:rPr>
          <w:rStyle w:val="6"/>
          <w:rFonts w:ascii="黑体" w:hAnsi="黑体" w:eastAsia="黑体" w:cs="黑体"/>
          <w:sz w:val="32"/>
          <w:szCs w:val="32"/>
          <w:rtl w:val="0"/>
        </w:rPr>
        <w:t>年度部门决算表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一、收入支出决算总表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二、收入决算表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三、支出决算表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四、财政拨款收入支出决算总表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五、一般公共预算财政拨款支出决算表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六、一般公共预算财政拨款基本支出决算明细表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七、政府性基金预算财政拨款收入支出决算表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八、国有资本经营预算财政拨款支出决算表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九、财政拨款“三公”经费支出决算表</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p>
    <w:p>
      <w:pPr>
        <w:keepNext w:val="0"/>
        <w:keepLines w:val="0"/>
        <w:pageBreakBefore w:val="0"/>
        <w:widowControl w:val="0"/>
        <w:shd w:val="clear" w:color="auto" w:fill="auto"/>
        <w:kinsoku/>
        <w:wordWrap/>
        <w:overflowPunct/>
        <w:topLinePunct w:val="0"/>
        <w:autoSpaceDE/>
        <w:autoSpaceDN/>
        <w:bidi w:val="0"/>
        <w:spacing w:before="240" w:after="240" w:line="360" w:lineRule="auto"/>
        <w:ind w:firstLine="640"/>
        <w:jc w:val="both"/>
        <w:textAlignment w:val="auto"/>
        <w:outlineLvl w:val="9"/>
      </w:pPr>
      <w:r>
        <w:rPr>
          <w:rStyle w:val="6"/>
          <w:rFonts w:ascii="黑体" w:hAnsi="黑体" w:eastAsia="黑体" w:cs="黑体"/>
          <w:sz w:val="32"/>
          <w:szCs w:val="32"/>
          <w:rtl w:val="0"/>
        </w:rPr>
        <w:t>第三部分</w:t>
      </w:r>
      <w:r>
        <w:rPr>
          <w:rStyle w:val="6"/>
          <w:rFonts w:ascii="黑体" w:hAnsi="黑体" w:eastAsia="黑体" w:cs="黑体"/>
          <w:sz w:val="32"/>
          <w:szCs w:val="32"/>
          <w:rtl w:val="0"/>
          <w:lang w:val="en-US" w:eastAsia="en-US"/>
        </w:rPr>
        <w:t xml:space="preserve">  </w:t>
      </w:r>
      <w:r>
        <w:rPr>
          <w:rStyle w:val="6"/>
          <w:rFonts w:hint="eastAsia" w:ascii="黑体" w:hAnsi="黑体" w:eastAsia="黑体" w:cs="黑体"/>
          <w:sz w:val="32"/>
          <w:szCs w:val="32"/>
          <w:u w:val="none"/>
          <w:rtl w:val="0"/>
          <w:lang w:val="en-US" w:eastAsia="zh-CN"/>
        </w:rPr>
        <w:t>黄石市财政局</w:t>
      </w:r>
      <w:r>
        <w:rPr>
          <w:rStyle w:val="6"/>
          <w:rFonts w:ascii="黑体" w:hAnsi="黑体" w:eastAsia="黑体" w:cs="黑体"/>
          <w:sz w:val="32"/>
          <w:szCs w:val="32"/>
          <w:rtl w:val="0"/>
          <w:lang w:val="en-US" w:eastAsia="en-US"/>
        </w:rPr>
        <w:t>20</w:t>
      </w:r>
      <w:r>
        <w:rPr>
          <w:rStyle w:val="6"/>
          <w:rFonts w:hint="eastAsia" w:ascii="黑体" w:hAnsi="黑体" w:eastAsia="黑体" w:cs="黑体"/>
          <w:sz w:val="32"/>
          <w:szCs w:val="32"/>
          <w:rtl w:val="0"/>
          <w:lang w:val="en-US" w:eastAsia="zh-CN"/>
        </w:rPr>
        <w:t>22</w:t>
      </w:r>
      <w:r>
        <w:rPr>
          <w:rStyle w:val="6"/>
          <w:rFonts w:ascii="黑体" w:hAnsi="黑体" w:eastAsia="黑体" w:cs="黑体"/>
          <w:sz w:val="32"/>
          <w:szCs w:val="32"/>
          <w:rtl w:val="0"/>
        </w:rPr>
        <w:t>年度部门决算情况说明</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一、收入支出决算总体情况说明</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二、收入决算情况说明</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三、支出决算情况说明</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四、财政拨款收入支出决算总体情况说明</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五、一般公共预算财政拨款支出决算情况说明</w:t>
      </w:r>
    </w:p>
    <w:p>
      <w:pPr>
        <w:keepNext w:val="0"/>
        <w:keepLines w:val="0"/>
        <w:pageBreakBefore w:val="0"/>
        <w:widowControl w:val="0"/>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六、一般公共预算财政拨款基本支出决算情况说明</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 xml:space="preserve">七、政府性基金预算财政拨款收入支出决算情况说明 </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leftChars="200"/>
        <w:jc w:val="both"/>
        <w:textAlignment w:val="auto"/>
        <w:outlineLvl w:val="9"/>
        <w:rPr>
          <w:rFonts w:hint="eastAsia" w:ascii="仿宋_GB2312" w:hAnsi="仿宋_GB2312" w:eastAsia="仿宋_GB2312" w:cs="仿宋_GB2312"/>
          <w:sz w:val="32"/>
          <w:szCs w:val="32"/>
          <w:lang w:val="en-US" w:eastAsia="zh-CN"/>
        </w:rPr>
      </w:pPr>
      <w:r>
        <w:rPr>
          <w:rFonts w:hint="eastAsia"/>
          <w:lang w:val="en-US" w:eastAsia="zh-CN"/>
        </w:rPr>
        <w:t>八、国有资本经营预算财政拨款支出决算情况说明</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 xml:space="preserve">九、财政拨款“三公”经费支出决算情况说明 </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十、机关运行经费支出说明</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十一、政府采购支出说明</w:t>
      </w:r>
    </w:p>
    <w:p>
      <w:pPr>
        <w:keepNext w:val="0"/>
        <w:keepLines w:val="0"/>
        <w:pageBreakBefore w:val="0"/>
        <w:widowControl w:val="0"/>
        <w:numPr>
          <w:ilvl w:val="0"/>
          <w:numId w:val="0"/>
        </w:numPr>
        <w:shd w:val="clear" w:color="auto" w:fill="auto"/>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十二、国有资产占用情况说明</w:t>
      </w:r>
    </w:p>
    <w:p>
      <w:pPr>
        <w:keepNext w:val="0"/>
        <w:keepLines w:val="0"/>
        <w:pageBreakBefore w:val="0"/>
        <w:widowControl w:val="0"/>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十三、预算绩效情况说明</w:t>
      </w:r>
    </w:p>
    <w:p>
      <w:pPr>
        <w:keepNext w:val="0"/>
        <w:keepLines w:val="0"/>
        <w:pageBreakBefore w:val="0"/>
        <w:widowControl w:val="0"/>
        <w:shd w:val="clear" w:color="auto" w:fill="auto"/>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十四、专项支出、转移支付支出情况说明</w:t>
      </w:r>
    </w:p>
    <w:p>
      <w:pPr>
        <w:keepNext w:val="0"/>
        <w:keepLines w:val="0"/>
        <w:pageBreakBefore w:val="0"/>
        <w:widowControl w:val="0"/>
        <w:shd w:val="clear" w:color="auto" w:fill="auto"/>
        <w:kinsoku/>
        <w:wordWrap/>
        <w:overflowPunct/>
        <w:topLinePunct w:val="0"/>
        <w:autoSpaceDE/>
        <w:autoSpaceDN/>
        <w:bidi w:val="0"/>
        <w:spacing w:before="240" w:after="240" w:line="360" w:lineRule="auto"/>
        <w:ind w:firstLine="640"/>
        <w:jc w:val="both"/>
        <w:textAlignment w:val="auto"/>
        <w:outlineLvl w:val="9"/>
        <w:rPr>
          <w:rStyle w:val="6"/>
          <w:rFonts w:ascii="黑体" w:hAnsi="黑体" w:eastAsia="黑体" w:cs="黑体"/>
          <w:sz w:val="32"/>
          <w:szCs w:val="32"/>
          <w:rtl w:val="0"/>
        </w:rPr>
      </w:pPr>
      <w:r>
        <w:rPr>
          <w:rStyle w:val="6"/>
          <w:rFonts w:ascii="黑体" w:hAnsi="黑体" w:eastAsia="黑体" w:cs="黑体"/>
          <w:sz w:val="32"/>
          <w:szCs w:val="32"/>
          <w:rtl w:val="0"/>
        </w:rPr>
        <w:t>第四部分</w:t>
      </w:r>
      <w:r>
        <w:rPr>
          <w:rStyle w:val="6"/>
          <w:rFonts w:ascii="黑体" w:hAnsi="黑体" w:eastAsia="黑体" w:cs="黑体"/>
          <w:sz w:val="32"/>
          <w:szCs w:val="32"/>
          <w:rtl w:val="0"/>
          <w:lang w:val="en-US" w:eastAsia="en-US"/>
        </w:rPr>
        <w:t xml:space="preserve">   </w:t>
      </w:r>
      <w:r>
        <w:rPr>
          <w:rStyle w:val="6"/>
          <w:rFonts w:ascii="黑体" w:hAnsi="黑体" w:eastAsia="黑体" w:cs="黑体"/>
          <w:sz w:val="32"/>
          <w:szCs w:val="32"/>
          <w:rtl w:val="0"/>
        </w:rPr>
        <w:t>名词解释</w:t>
      </w:r>
    </w:p>
    <w:p>
      <w:pPr>
        <w:keepNext w:val="0"/>
        <w:keepLines w:val="0"/>
        <w:pageBreakBefore w:val="0"/>
        <w:widowControl w:val="0"/>
        <w:shd w:val="clear" w:color="auto" w:fill="auto"/>
        <w:kinsoku/>
        <w:wordWrap/>
        <w:overflowPunct/>
        <w:topLinePunct w:val="0"/>
        <w:autoSpaceDE/>
        <w:autoSpaceDN/>
        <w:bidi w:val="0"/>
        <w:spacing w:before="240" w:after="240" w:line="360" w:lineRule="auto"/>
        <w:ind w:firstLine="640"/>
        <w:jc w:val="both"/>
        <w:textAlignment w:val="auto"/>
        <w:outlineLvl w:val="9"/>
        <w:rPr>
          <w:rStyle w:val="6"/>
          <w:rFonts w:ascii="黑体" w:hAnsi="黑体" w:eastAsia="黑体" w:cs="黑体"/>
          <w:sz w:val="32"/>
          <w:szCs w:val="32"/>
          <w:rtl w:val="0"/>
        </w:rPr>
      </w:pPr>
    </w:p>
    <w:p>
      <w:pPr>
        <w:keepNext w:val="0"/>
        <w:keepLines w:val="0"/>
        <w:pageBreakBefore w:val="0"/>
        <w:widowControl w:val="0"/>
        <w:numPr>
          <w:ilvl w:val="0"/>
          <w:numId w:val="0"/>
        </w:numPr>
        <w:shd w:val="clear" w:color="auto" w:fill="auto"/>
        <w:kinsoku/>
        <w:wordWrap/>
        <w:overflowPunct/>
        <w:topLinePunct w:val="0"/>
        <w:bidi w:val="0"/>
        <w:spacing w:line="360" w:lineRule="auto"/>
        <w:ind w:firstLine="640" w:firstLineChars="200"/>
        <w:jc w:val="both"/>
        <w:textAlignment w:val="auto"/>
        <w:outlineLvl w:val="9"/>
        <w:rPr>
          <w:rStyle w:val="6"/>
          <w:rFonts w:hint="eastAsia" w:ascii="黑体" w:hAnsi="黑体" w:eastAsia="黑体" w:cs="黑体"/>
          <w:sz w:val="32"/>
          <w:szCs w:val="32"/>
          <w:rtl w:val="0"/>
          <w:lang w:val="en-US" w:eastAsia="zh-CN"/>
        </w:rPr>
      </w:pPr>
    </w:p>
    <w:p>
      <w:pPr>
        <w:numPr>
          <w:ilvl w:val="0"/>
          <w:numId w:val="0"/>
        </w:numPr>
        <w:shd w:val="clear" w:color="auto" w:fill="auto"/>
        <w:ind w:firstLine="640" w:firstLineChars="200"/>
        <w:jc w:val="both"/>
        <w:rPr>
          <w:rFonts w:hint="eastAsia" w:ascii="黑体" w:hAnsi="黑体" w:eastAsia="黑体" w:cs="黑体"/>
          <w:sz w:val="32"/>
          <w:szCs w:val="32"/>
          <w:u w:val="none"/>
          <w:lang w:val="en-US" w:eastAsia="zh-CN"/>
        </w:rPr>
      </w:pPr>
    </w:p>
    <w:p>
      <w:pPr>
        <w:numPr>
          <w:ilvl w:val="0"/>
          <w:numId w:val="0"/>
        </w:numPr>
        <w:shd w:val="clear" w:color="auto" w:fill="auto"/>
        <w:ind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u w:val="none"/>
          <w:lang w:val="en-US" w:eastAsia="zh-CN"/>
        </w:rPr>
        <w:t xml:space="preserve">第一部分  </w:t>
      </w:r>
      <w:r>
        <w:rPr>
          <w:rStyle w:val="6"/>
          <w:rFonts w:hint="eastAsia" w:ascii="黑体" w:hAnsi="黑体" w:eastAsia="黑体" w:cs="黑体"/>
          <w:sz w:val="32"/>
          <w:szCs w:val="32"/>
          <w:u w:val="none"/>
          <w:rtl w:val="0"/>
          <w:lang w:val="en-US" w:eastAsia="zh-CN"/>
        </w:rPr>
        <w:t>黄石市财政局</w:t>
      </w:r>
      <w:r>
        <w:rPr>
          <w:rFonts w:hint="eastAsia" w:ascii="黑体" w:hAnsi="黑体" w:eastAsia="黑体" w:cs="黑体"/>
          <w:sz w:val="32"/>
          <w:szCs w:val="32"/>
          <w:lang w:val="en-US" w:eastAsia="zh-CN"/>
        </w:rPr>
        <w:t>概况</w:t>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一、部门主要职责</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一）拟订全市财税发展战略、规划、政策和改革方案并组织实施。分析预测经济形势，参与制定经济政策，提出运用财税政策实施调控和综合平衡社会财力的建议。拟订和执行市级与城区（开发区）、政府与企业的分配政策，完善鼓励公益事业发展的财税政策。</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（二）拟订和执行全市有关财政、财务、会计管理制度，并加强指导监督。</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三）负责管理市级各项财政收支。编制年度市级预决算草案并组织实施。组织制定经费开支标准、定额，负责审核批复市直部门（单位）的年度预决算。受市政府委托，向市人民代表大会及其常委会报告财政预算、执行和决算等情况。完善转移支付制度。负责市级预决算公开。</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四）按法律法规授权，组织起草税收政策调整方案，开展重大税收政策的调查研究，会同税务部门贯彻执行税收政策，提出税政建议。参与市级社会保障制度的研究制定，会同有关部门拟订全市社会保障资金（基金）的财务管理办法，监督社会保障资金（基金）使用。管理市级社会保障资金（基金）财政专户。</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（五）按分工负责政府非税收入管理。负责政府性基金管理，按规定管理行政事业性收费。管理财政票据。按规定监管彩票资金，监管城市住房资金、住房保障资金和住房公积金。</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六）组织制定市级财政国库管理制度、国库集中收付制度，指导和监督市级国库财政业务，按规定管理国库现金。制订政府财务报告编制办法并组织实施。依法监督管理政府采购活动，负责制定市级政府采购管理制度并监督执行。</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七）拟订和执行市级政府国内债务管理制度和政策。依法制订地方政府债务管理制度和办法，防范债务风险。负责市政府债券的发行、使用、管理和监督偿还，指导城区（开发区）政府性债务管理工作。统一管理政府外债。负责组织和管理外国政府和国际金融组织贷（赠）款项目相关工作。负责全市道路交通事故社会救助资金的监督管理工作。</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八）牵头编制国有资产管理情况报告。根据市政府授权，集中统一履行市级国有金融资本出资人职责，负责政府投资基金市级财政出资的资产管理。负责全市地方金融机构、地方性融资担保机构的财务监管。拟订行政事业单位国有资产管理制度并组织实施。制订需要全市统一规定的开支标准和支出政策。</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九）负责制订国有资本经营预算的制度和办法，收取市本级企业国有资本收益，负责审核、汇总编制全市国有资本经营预决算草案，制订并组织实施企业财务制度。全面实施预算绩效管理，将政府收支预算、部门和单位预算、政策和项目全面纳入绩效管理，构建全方位、全过程、全覆盖的预算绩效管理体系，实现预算和绩效管理的一体化。</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（十）负责办理和监督市级财政的经济发展支出、市级政府性投资项目的财政拨款，参与市级建设投资有关工作。</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（十一）围绕市委发展战略，服务全市产业发展，负责制定产业发展财政政策，按有关规定管理产业发展资金（基金）。</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十二）负责管理全市的会计工作，监督和规范会计行为，执行国家会计法律、法规、会计准则和会计制度。指导和监督注册会计师、会计师事务所和代理记账行业的业务，指导和管理社会审计。管理会计从业资格。管理、检查社会审计、会计、评估等中介机构及延伸检查相关单位会计信息质量。指导和推进全市注册会计师行业政治建设工作。</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十三）负责制定和实施全市农村综合改革相关政策措施。监督财税法律法规、政策的执行情况，反映财政收支管理中的重大问题。负责制定并组织实施全市票据管理制度。负责制订全市财政信息化建设管理制度和技术标准，指导全市财政信息化建设工作。</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（十四）负责市级财政投资评审工作。</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（十五）承办上级交办的其他事项。</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（十六）职能转变：</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1、完善政府预算体系，创新调控方式，构建发展规划、财政、金融等政策协调和工作协调机制，强化经济监测预测预警能力，建立健全重大问题研究和政策储备工作机制，增强宏观调控前瞻性、针对性和协同性。</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2、深化财税体制改革。加快建立现代 财政制度，推进财政事权和支出责任划分改革，理顺市级和城区（开发区）收入划分，建立权责清晰、财力协调、区域均衡的市级和城区（开发区）财政关系。完善转移支付制度，优化转移支付分类，规范转移支付项目，增强地方统筹能力。逐步统一预算分配，全面实施绩效管理，建立全面规范透明、标准科学、约束有力的预算制度。全面推行政府性基金和行政事业性收费清单管理，完善监督制度。落实中央、省有关金融企业出资人职责和国有资产管理职能。</w:t>
      </w:r>
    </w:p>
    <w:p>
      <w:pPr>
        <w:shd w:val="clear" w:color="auto" w:fill="auto"/>
        <w:adjustRightInd w:val="0"/>
        <w:snapToGrid w:val="0"/>
        <w:spacing w:line="580" w:lineRule="atLeast"/>
        <w:ind w:firstLine="640" w:firstLineChars="200"/>
        <w:rPr>
          <w:rFonts w:hint="eastAsia"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3、防范化解地方政府债务风险。规范举债融资机制，构建“闭环”管理体系，严控法定限额内债务风险，着力防控隐性债务风险，牢牢守住不发生系统性风险的底线。</w:t>
      </w:r>
    </w:p>
    <w:p>
      <w:pPr>
        <w:shd w:val="clear" w:color="auto" w:fill="auto"/>
        <w:adjustRightInd w:val="0"/>
        <w:snapToGrid w:val="0"/>
        <w:spacing w:line="580" w:lineRule="atLeast"/>
        <w:ind w:firstLine="640" w:firstLineChars="200"/>
        <w:rPr>
          <w:rFonts w:hint="eastAsia" w:ascii="仿宋_GB2312" w:hAnsi="宋体" w:eastAsia="仿宋_GB2312"/>
          <w:bCs/>
          <w:sz w:val="32"/>
          <w:szCs w:val="32"/>
          <w:highlight w:val="none"/>
          <w:lang w:val="en-US" w:eastAsia="zh-CN"/>
        </w:rPr>
      </w:pPr>
      <w:r>
        <w:rPr>
          <w:rFonts w:hint="eastAsia" w:ascii="黑体" w:hAnsi="黑体" w:eastAsia="黑体" w:cs="黑体"/>
          <w:bCs/>
          <w:sz w:val="32"/>
          <w:szCs w:val="32"/>
          <w:highlight w:val="none"/>
          <w:lang w:val="en-US" w:eastAsia="zh-CN"/>
        </w:rPr>
        <w:t>二、机构设置情况</w:t>
      </w:r>
    </w:p>
    <w:p>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center"/>
        <w:outlineLvl w:val="9"/>
        <w:rPr>
          <w:rFonts w:hint="eastAsia" w:ascii="仿宋" w:hAnsi="仿宋" w:eastAsia="仿宋" w:cs="仿宋"/>
          <w:color w:val="auto"/>
          <w:sz w:val="32"/>
          <w:szCs w:val="32"/>
          <w:highlight w:val="none"/>
          <w:shd w:val="clear" w:color="auto" w:fill="FFFFFF"/>
          <w:lang w:eastAsia="zh-CN"/>
        </w:rPr>
      </w:pPr>
      <w:r>
        <w:rPr>
          <w:rFonts w:hint="eastAsia" w:ascii="仿宋_GB2312" w:hAnsi="仿宋_GB2312" w:eastAsia="仿宋_GB2312" w:cs="仿宋_GB2312"/>
          <w:sz w:val="32"/>
          <w:szCs w:val="32"/>
          <w:lang w:val="en-US" w:eastAsia="zh-CN"/>
        </w:rPr>
        <w:t>从单位构成看</w:t>
      </w:r>
      <w:r>
        <w:rPr>
          <w:rFonts w:hint="eastAsia" w:ascii="仿宋_GB2312" w:hAnsi="仿宋_GB2312" w:cs="仿宋_GB2312"/>
          <w:sz w:val="32"/>
          <w:szCs w:val="32"/>
          <w:lang w:val="en-US" w:eastAsia="zh-CN"/>
        </w:rPr>
        <w:t>，</w:t>
      </w:r>
      <w:r>
        <w:rPr>
          <w:rFonts w:hint="eastAsia" w:ascii="仿宋" w:hAnsi="仿宋" w:eastAsia="仿宋" w:cs="仿宋"/>
          <w:color w:val="auto"/>
          <w:sz w:val="32"/>
          <w:szCs w:val="32"/>
          <w:highlight w:val="none"/>
          <w:shd w:val="clear" w:color="auto" w:fill="FFFFFF"/>
        </w:rPr>
        <w:t>黄石市财政局部门决算由</w:t>
      </w:r>
      <w:r>
        <w:rPr>
          <w:rFonts w:hint="eastAsia" w:ascii="仿宋" w:hAnsi="仿宋" w:eastAsia="仿宋" w:cs="仿宋"/>
          <w:color w:val="auto"/>
          <w:sz w:val="32"/>
          <w:szCs w:val="32"/>
          <w:highlight w:val="none"/>
          <w:shd w:val="clear" w:color="auto" w:fill="FFFFFF"/>
          <w:lang w:eastAsia="zh-CN"/>
        </w:rPr>
        <w:t>局机关</w:t>
      </w:r>
      <w:r>
        <w:rPr>
          <w:rFonts w:hint="eastAsia" w:ascii="仿宋" w:hAnsi="仿宋" w:eastAsia="仿宋" w:cs="仿宋"/>
          <w:color w:val="auto"/>
          <w:sz w:val="32"/>
          <w:szCs w:val="32"/>
          <w:highlight w:val="none"/>
          <w:shd w:val="clear" w:color="auto" w:fill="FFFFFF"/>
        </w:rPr>
        <w:t>和纳入决算汇编范围的</w:t>
      </w:r>
      <w:r>
        <w:rPr>
          <w:rFonts w:hint="eastAsia" w:ascii="仿宋" w:hAnsi="仿宋" w:eastAsia="仿宋" w:cs="仿宋"/>
          <w:color w:val="auto"/>
          <w:sz w:val="32"/>
          <w:szCs w:val="32"/>
          <w:highlight w:val="none"/>
          <w:shd w:val="clear" w:color="auto" w:fill="FFFFFF"/>
          <w:lang w:val="en-US" w:eastAsia="zh-CN"/>
        </w:rPr>
        <w:t>5</w:t>
      </w:r>
      <w:r>
        <w:rPr>
          <w:rFonts w:hint="eastAsia" w:ascii="仿宋" w:hAnsi="仿宋" w:eastAsia="仿宋" w:cs="仿宋"/>
          <w:color w:val="auto"/>
          <w:sz w:val="32"/>
          <w:szCs w:val="32"/>
          <w:highlight w:val="none"/>
          <w:shd w:val="clear" w:color="auto" w:fill="FFFFFF"/>
        </w:rPr>
        <w:t>个二级</w:t>
      </w:r>
      <w:r>
        <w:rPr>
          <w:rFonts w:hint="eastAsia" w:ascii="仿宋" w:hAnsi="仿宋" w:eastAsia="仿宋" w:cs="仿宋"/>
          <w:color w:val="auto"/>
          <w:sz w:val="32"/>
          <w:szCs w:val="32"/>
          <w:highlight w:val="none"/>
          <w:shd w:val="clear" w:color="auto" w:fill="FFFFFF"/>
          <w:lang w:eastAsia="zh-CN"/>
        </w:rPr>
        <w:t>事业单位组成。黄石市财政局（含二级单位）核定编制数共</w:t>
      </w:r>
      <w:r>
        <w:rPr>
          <w:rFonts w:hint="eastAsia" w:ascii="仿宋" w:hAnsi="仿宋" w:eastAsia="仿宋" w:cs="仿宋"/>
          <w:color w:val="auto"/>
          <w:sz w:val="32"/>
          <w:szCs w:val="32"/>
          <w:highlight w:val="none"/>
          <w:shd w:val="clear" w:color="auto" w:fill="FFFFFF"/>
          <w:lang w:val="en-US" w:eastAsia="zh-CN"/>
        </w:rPr>
        <w:t>148个，其中行政编制57个，事业编制85个，工勤编制6个</w:t>
      </w:r>
      <w:bookmarkStart w:id="0" w:name="_GoBack"/>
      <w:bookmarkEnd w:id="0"/>
      <w:r>
        <w:rPr>
          <w:rFonts w:hint="eastAsia" w:ascii="仿宋" w:hAnsi="仿宋" w:eastAsia="仿宋" w:cs="仿宋"/>
          <w:color w:val="auto"/>
          <w:sz w:val="32"/>
          <w:szCs w:val="32"/>
          <w:highlight w:val="none"/>
          <w:shd w:val="clear" w:color="auto" w:fill="FFFFFF"/>
          <w:lang w:val="en-US" w:eastAsia="zh-CN"/>
        </w:rPr>
        <w:t>。</w:t>
      </w:r>
    </w:p>
    <w:p>
      <w:pPr>
        <w:pageBreakBefore w:val="0"/>
        <w:shd w:val="clear" w:color="auto" w:fill="FFFFFF"/>
        <w:kinsoku/>
        <w:wordWrap/>
        <w:overflowPunct/>
        <w:topLinePunct w:val="0"/>
        <w:autoSpaceDE/>
        <w:autoSpaceDN/>
        <w:bidi w:val="0"/>
        <w:adjustRightInd/>
        <w:snapToGrid/>
        <w:spacing w:line="560" w:lineRule="exact"/>
        <w:ind w:right="0" w:rightChars="0"/>
        <w:jc w:val="center"/>
        <w:rPr>
          <w:rFonts w:hint="eastAsia" w:ascii="仿宋" w:hAnsi="仿宋" w:eastAsia="仿宋" w:cs="仿宋"/>
          <w:b/>
          <w:bCs/>
          <w:color w:val="auto"/>
          <w:sz w:val="32"/>
          <w:szCs w:val="32"/>
          <w:highlight w:val="none"/>
          <w:shd w:val="clear" w:color="auto" w:fill="FFFFFF"/>
        </w:rPr>
      </w:pPr>
      <w:r>
        <w:rPr>
          <w:rFonts w:hint="eastAsia" w:ascii="宋体" w:hAnsi="宋体" w:eastAsia="宋体" w:cs="宋体"/>
          <w:b/>
          <w:bCs/>
          <w:color w:val="auto"/>
          <w:kern w:val="2"/>
          <w:sz w:val="32"/>
          <w:szCs w:val="32"/>
          <w:highlight w:val="none"/>
          <w:lang w:val="en-US" w:eastAsia="zh-CN" w:bidi="ar-SA"/>
        </w:rPr>
        <w:t xml:space="preserve">      市财政局内设机构</w:t>
      </w:r>
    </w:p>
    <w:tbl>
      <w:tblPr>
        <w:tblStyle w:val="7"/>
        <w:tblW w:w="7390" w:type="dxa"/>
        <w:jc w:val="center"/>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88"/>
        <w:gridCol w:w="62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jc w:val="center"/>
              <w:outlineLvl w:val="9"/>
              <w:rPr>
                <w:b/>
                <w:bCs/>
                <w:color w:val="auto"/>
                <w:sz w:val="24"/>
                <w:szCs w:val="24"/>
                <w:highlight w:val="none"/>
              </w:rPr>
            </w:pPr>
            <w:r>
              <w:rPr>
                <w:rFonts w:hint="eastAsia" w:ascii="仿宋" w:hAnsi="仿宋" w:eastAsia="仿宋" w:cs="仿宋"/>
                <w:b/>
                <w:bCs/>
                <w:i w:val="0"/>
                <w:caps w:val="0"/>
                <w:color w:val="auto"/>
                <w:spacing w:val="0"/>
                <w:sz w:val="24"/>
                <w:szCs w:val="24"/>
                <w:highlight w:val="none"/>
              </w:rPr>
              <w:t>序号</w:t>
            </w:r>
          </w:p>
        </w:tc>
        <w:tc>
          <w:tcPr>
            <w:tcW w:w="6202" w:type="dxa"/>
            <w:tcBorders>
              <w:top w:val="single" w:color="000000" w:sz="4" w:space="0"/>
              <w:left w:val="nil"/>
              <w:bottom w:val="single" w:color="000000" w:sz="4" w:space="0"/>
              <w:right w:val="single" w:color="000000" w:sz="4" w:space="0"/>
            </w:tcBorders>
            <w:shd w:val="clear" w:color="auto" w:fill="FFFFFF"/>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jc w:val="center"/>
              <w:outlineLvl w:val="9"/>
              <w:rPr>
                <w:b/>
                <w:bCs/>
                <w:color w:val="auto"/>
                <w:sz w:val="24"/>
                <w:szCs w:val="24"/>
                <w:highlight w:val="none"/>
              </w:rPr>
            </w:pPr>
            <w:r>
              <w:rPr>
                <w:rFonts w:hint="eastAsia" w:ascii="仿宋" w:hAnsi="仿宋" w:eastAsia="仿宋" w:cs="仿宋"/>
                <w:b/>
                <w:bCs/>
                <w:i w:val="0"/>
                <w:caps w:val="0"/>
                <w:color w:val="auto"/>
                <w:spacing w:val="0"/>
                <w:sz w:val="24"/>
                <w:szCs w:val="24"/>
                <w:highlight w:val="none"/>
              </w:rPr>
              <w:t>单   位   名   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nil"/>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w:t>
            </w:r>
          </w:p>
        </w:tc>
        <w:tc>
          <w:tcPr>
            <w:tcW w:w="6202" w:type="dxa"/>
            <w:tcBorders>
              <w:top w:val="nil"/>
              <w:left w:val="nil"/>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nil"/>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2</w:t>
            </w:r>
          </w:p>
        </w:tc>
        <w:tc>
          <w:tcPr>
            <w:tcW w:w="6202" w:type="dxa"/>
            <w:tcBorders>
              <w:top w:val="nil"/>
              <w:left w:val="nil"/>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调研科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nil"/>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3</w:t>
            </w:r>
          </w:p>
        </w:tc>
        <w:tc>
          <w:tcPr>
            <w:tcW w:w="6202" w:type="dxa"/>
            <w:tcBorders>
              <w:top w:val="nil"/>
              <w:left w:val="nil"/>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信息科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nil"/>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4</w:t>
            </w:r>
          </w:p>
        </w:tc>
        <w:tc>
          <w:tcPr>
            <w:tcW w:w="6202" w:type="dxa"/>
            <w:tcBorders>
              <w:top w:val="nil"/>
              <w:left w:val="nil"/>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综合科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nil"/>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5</w:t>
            </w:r>
          </w:p>
        </w:tc>
        <w:tc>
          <w:tcPr>
            <w:tcW w:w="6202" w:type="dxa"/>
            <w:tcBorders>
              <w:top w:val="nil"/>
              <w:left w:val="nil"/>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法规税政科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nil"/>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6</w:t>
            </w:r>
          </w:p>
        </w:tc>
        <w:tc>
          <w:tcPr>
            <w:tcW w:w="6202" w:type="dxa"/>
            <w:tcBorders>
              <w:top w:val="nil"/>
              <w:left w:val="nil"/>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预算科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nil"/>
              <w:left w:val="single" w:color="000000" w:sz="4" w:space="0"/>
              <w:bottom w:val="single" w:color="auto"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7</w:t>
            </w:r>
          </w:p>
        </w:tc>
        <w:tc>
          <w:tcPr>
            <w:tcW w:w="6202" w:type="dxa"/>
            <w:tcBorders>
              <w:top w:val="nil"/>
              <w:left w:val="nil"/>
              <w:bottom w:val="single" w:color="auto"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国库科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8</w:t>
            </w:r>
          </w:p>
        </w:tc>
        <w:tc>
          <w:tcPr>
            <w:tcW w:w="6202"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经济建设科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auto" w:sz="4" w:space="0"/>
              <w:left w:val="single" w:color="000000" w:sz="4" w:space="0"/>
              <w:bottom w:val="single" w:color="000000" w:sz="4" w:space="0"/>
              <w:right w:val="single" w:color="auto"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9</w:t>
            </w:r>
          </w:p>
        </w:tc>
        <w:tc>
          <w:tcPr>
            <w:tcW w:w="6202" w:type="dxa"/>
            <w:tcBorders>
              <w:top w:val="single" w:color="auto" w:sz="4" w:space="0"/>
              <w:left w:val="single" w:color="auto" w:sz="4" w:space="0"/>
              <w:bottom w:val="single" w:color="000000" w:sz="4" w:space="0"/>
              <w:right w:val="single" w:color="auto"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行政政法科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10</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科教和文化科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11</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社会保障科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12</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农业科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13</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农村科(市农村综合改革领导小组办公室)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14</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预算绩效管理科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15</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资产管理科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16</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财政监督检查科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17</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金融科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18</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政府投融资和债务管理科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19</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产业发展科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20</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会计科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21</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投资评审科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22</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政工科（离退休干部科、机关党委）</w:t>
            </w:r>
          </w:p>
        </w:tc>
      </w:tr>
    </w:tbl>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300" w:right="300"/>
        <w:jc w:val="center"/>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300" w:right="300"/>
        <w:jc w:val="center"/>
        <w:textAlignment w:val="auto"/>
        <w:outlineLvl w:val="9"/>
        <w:rPr>
          <w:rFonts w:hint="eastAsia" w:ascii="仿宋_GB2312" w:hAnsi="Times New Roman" w:eastAsia="仿宋_GB2312" w:cs="Times New Roman"/>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市财政局二级事业单位</w:t>
      </w:r>
    </w:p>
    <w:tbl>
      <w:tblPr>
        <w:tblStyle w:val="7"/>
        <w:tblW w:w="7390" w:type="dxa"/>
        <w:jc w:val="center"/>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88"/>
        <w:gridCol w:w="62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1</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黄石市国库集中收付局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2</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黄石市非税收入管理局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3</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黄石市政府采购管理办公室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4</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黄石市预算编审中心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8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5</w:t>
            </w:r>
          </w:p>
        </w:tc>
        <w:tc>
          <w:tcPr>
            <w:tcW w:w="620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top"/>
              <w:outlineLvl w:val="9"/>
              <w:rPr>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黄石市行政事业单位资产收益征管办公室</w:t>
            </w:r>
          </w:p>
        </w:tc>
      </w:tr>
    </w:tbl>
    <w:p>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center"/>
        <w:outlineLvl w:val="9"/>
        <w:rPr>
          <w:rFonts w:hint="eastAsia" w:ascii="仿宋" w:hAnsi="仿宋" w:eastAsia="仿宋" w:cs="仿宋"/>
          <w:color w:val="auto"/>
          <w:sz w:val="32"/>
          <w:szCs w:val="32"/>
          <w:highlight w:val="none"/>
          <w:shd w:val="clear" w:color="auto" w:fill="FFFFFF"/>
          <w:lang w:val="en-US" w:eastAsia="zh-CN"/>
        </w:rPr>
      </w:pPr>
    </w:p>
    <w:p>
      <w:pPr>
        <w:shd w:val="clear" w:color="auto" w:fill="auto"/>
        <w:ind w:firstLine="640"/>
        <w:jc w:val="both"/>
        <w:rPr>
          <w:rFonts w:hint="eastAsia" w:ascii="仿宋_GB2312" w:hAnsi="仿宋_GB2312" w:eastAsia="仿宋_GB2312" w:cs="仿宋_GB2312"/>
          <w:sz w:val="32"/>
          <w:szCs w:val="32"/>
          <w:lang w:val="en-US" w:eastAsia="zh-CN"/>
        </w:rPr>
      </w:pPr>
    </w:p>
    <w:p>
      <w:pPr>
        <w:shd w:val="clear" w:color="auto" w:fill="auto"/>
        <w:ind w:firstLine="640"/>
        <w:jc w:val="both"/>
        <w:rPr>
          <w:rFonts w:hint="default" w:ascii="仿宋_GB2312" w:hAnsi="仿宋_GB2312" w:cs="仿宋_GB2312"/>
          <w:b/>
          <w:bCs/>
          <w:sz w:val="32"/>
          <w:szCs w:val="32"/>
          <w:lang w:val="en-US" w:eastAsia="zh-CN"/>
        </w:rPr>
      </w:pPr>
    </w:p>
    <w:p>
      <w:pPr>
        <w:shd w:val="clear" w:color="auto" w:fill="auto"/>
        <w:ind w:firstLine="640"/>
        <w:jc w:val="both"/>
        <w:rPr>
          <w:rFonts w:hint="eastAsia" w:ascii="黑体" w:hAnsi="黑体" w:eastAsia="黑体" w:cs="黑体"/>
          <w:sz w:val="32"/>
          <w:szCs w:val="32"/>
          <w:lang w:eastAsia="zh-CN"/>
        </w:rPr>
      </w:pPr>
      <w:r>
        <w:rPr>
          <w:rFonts w:hint="eastAsia" w:ascii="黑体" w:hAnsi="黑体" w:eastAsia="黑体" w:cs="黑体"/>
          <w:sz w:val="32"/>
          <w:szCs w:val="32"/>
          <w:lang w:val="en-US" w:eastAsia="zh-CN"/>
        </w:rPr>
        <w:t>第二部分  2022年度</w:t>
      </w:r>
      <w:r>
        <w:rPr>
          <w:rFonts w:hint="eastAsia" w:ascii="黑体" w:hAnsi="黑体" w:eastAsia="黑体" w:cs="黑体"/>
          <w:sz w:val="32"/>
          <w:szCs w:val="32"/>
        </w:rPr>
        <w:t>部门决算</w:t>
      </w:r>
      <w:r>
        <w:rPr>
          <w:rFonts w:hint="eastAsia" w:ascii="黑体" w:hAnsi="黑体" w:eastAsia="黑体" w:cs="黑体"/>
          <w:sz w:val="32"/>
          <w:szCs w:val="32"/>
          <w:lang w:eastAsia="zh-CN"/>
        </w:rPr>
        <w:t>表</w:t>
      </w:r>
    </w:p>
    <w:p>
      <w:pPr>
        <w:numPr>
          <w:ilvl w:val="0"/>
          <w:numId w:val="1"/>
        </w:numPr>
        <w:shd w:val="clear" w:color="auto" w:fill="auto"/>
        <w:adjustRightInd w:val="0"/>
        <w:snapToGrid w:val="0"/>
        <w:spacing w:line="580" w:lineRule="atLeast"/>
        <w:ind w:right="-781" w:rightChars="-244"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收入支出决算总表</w:t>
      </w:r>
    </w:p>
    <w:p>
      <w:pPr>
        <w:pStyle w:val="2"/>
        <w:numPr>
          <w:ilvl w:val="0"/>
          <w:numId w:val="0"/>
        </w:numPr>
        <w:rPr>
          <w:rFonts w:hint="eastAsia" w:ascii="黑体" w:hAnsi="黑体" w:eastAsia="黑体" w:cs="黑体"/>
          <w:bCs/>
          <w:sz w:val="32"/>
          <w:szCs w:val="32"/>
          <w:highlight w:val="none"/>
        </w:rPr>
      </w:pPr>
      <w:r>
        <w:rPr>
          <w:color w:val="auto"/>
        </w:rPr>
        <w:drawing>
          <wp:inline distT="0" distB="0" distL="114300" distR="114300">
            <wp:extent cx="5268595" cy="5613400"/>
            <wp:effectExtent l="0" t="0" r="825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8595" cy="5613400"/>
                    </a:xfrm>
                    <a:prstGeom prst="rect">
                      <a:avLst/>
                    </a:prstGeom>
                    <a:noFill/>
                    <a:ln w="9525">
                      <a:noFill/>
                    </a:ln>
                  </pic:spPr>
                </pic:pic>
              </a:graphicData>
            </a:graphic>
          </wp:inline>
        </w:drawing>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二、收入决算表</w:t>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color w:val="auto"/>
        </w:rPr>
        <w:drawing>
          <wp:inline distT="0" distB="0" distL="114300" distR="114300">
            <wp:extent cx="5273675" cy="5260975"/>
            <wp:effectExtent l="0" t="0" r="317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3675" cy="5260975"/>
                    </a:xfrm>
                    <a:prstGeom prst="rect">
                      <a:avLst/>
                    </a:prstGeom>
                    <a:noFill/>
                    <a:ln w="9525">
                      <a:noFill/>
                    </a:ln>
                  </pic:spPr>
                </pic:pic>
              </a:graphicData>
            </a:graphic>
          </wp:inline>
        </w:drawing>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三、支出决算表</w:t>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color w:val="auto"/>
        </w:rPr>
        <w:drawing>
          <wp:inline distT="0" distB="0" distL="114300" distR="114300">
            <wp:extent cx="5268595" cy="4858385"/>
            <wp:effectExtent l="0" t="0" r="8255"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8595" cy="4858385"/>
                    </a:xfrm>
                    <a:prstGeom prst="rect">
                      <a:avLst/>
                    </a:prstGeom>
                    <a:noFill/>
                    <a:ln w="9525">
                      <a:noFill/>
                    </a:ln>
                  </pic:spPr>
                </pic:pic>
              </a:graphicData>
            </a:graphic>
          </wp:inline>
        </w:drawing>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四、财政拨款收入支出决算总表</w:t>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color w:val="auto"/>
        </w:rPr>
        <w:drawing>
          <wp:inline distT="0" distB="0" distL="114300" distR="114300">
            <wp:extent cx="5271770" cy="5899150"/>
            <wp:effectExtent l="0" t="0" r="5080"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1770" cy="5899150"/>
                    </a:xfrm>
                    <a:prstGeom prst="rect">
                      <a:avLst/>
                    </a:prstGeom>
                    <a:noFill/>
                    <a:ln w="9525">
                      <a:noFill/>
                    </a:ln>
                  </pic:spPr>
                </pic:pic>
              </a:graphicData>
            </a:graphic>
          </wp:inline>
        </w:drawing>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五、一般公共预算财政拨款支出决算表</w:t>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color w:val="auto"/>
        </w:rPr>
        <w:drawing>
          <wp:inline distT="0" distB="0" distL="114300" distR="114300">
            <wp:extent cx="5273675" cy="4871720"/>
            <wp:effectExtent l="0" t="0" r="317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3675" cy="4871720"/>
                    </a:xfrm>
                    <a:prstGeom prst="rect">
                      <a:avLst/>
                    </a:prstGeom>
                    <a:noFill/>
                    <a:ln w="9525">
                      <a:noFill/>
                    </a:ln>
                  </pic:spPr>
                </pic:pic>
              </a:graphicData>
            </a:graphic>
          </wp:inline>
        </w:drawing>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六、一般公共预算财政拨款基本支出决算</w:t>
      </w:r>
      <w:r>
        <w:rPr>
          <w:rFonts w:hint="eastAsia" w:ascii="黑体" w:hAnsi="黑体" w:eastAsia="黑体" w:cs="黑体"/>
          <w:bCs/>
          <w:sz w:val="32"/>
          <w:szCs w:val="32"/>
          <w:highlight w:val="none"/>
          <w:lang w:eastAsia="zh-CN"/>
        </w:rPr>
        <w:t>明细</w:t>
      </w:r>
      <w:r>
        <w:rPr>
          <w:rFonts w:hint="eastAsia" w:ascii="黑体" w:hAnsi="黑体" w:eastAsia="黑体" w:cs="黑体"/>
          <w:bCs/>
          <w:sz w:val="32"/>
          <w:szCs w:val="32"/>
          <w:highlight w:val="none"/>
        </w:rPr>
        <w:t>表</w:t>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color w:val="auto"/>
        </w:rPr>
        <w:drawing>
          <wp:inline distT="0" distB="0" distL="114300" distR="114300">
            <wp:extent cx="5273675" cy="4791075"/>
            <wp:effectExtent l="0" t="0" r="317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73675" cy="4791075"/>
                    </a:xfrm>
                    <a:prstGeom prst="rect">
                      <a:avLst/>
                    </a:prstGeom>
                    <a:noFill/>
                    <a:ln w="9525">
                      <a:noFill/>
                    </a:ln>
                  </pic:spPr>
                </pic:pic>
              </a:graphicData>
            </a:graphic>
          </wp:inline>
        </w:drawing>
      </w:r>
    </w:p>
    <w:p>
      <w:pPr>
        <w:numPr>
          <w:ilvl w:val="0"/>
          <w:numId w:val="2"/>
        </w:numPr>
        <w:shd w:val="clear" w:color="auto" w:fill="auto"/>
        <w:ind w:firstLine="640"/>
        <w:jc w:val="both"/>
        <w:rPr>
          <w:rFonts w:hint="eastAsia" w:ascii="黑体" w:hAnsi="黑体" w:eastAsia="黑体" w:cs="黑体"/>
          <w:bCs/>
          <w:sz w:val="32"/>
          <w:szCs w:val="32"/>
          <w:highlight w:val="none"/>
        </w:rPr>
      </w:pPr>
      <w:r>
        <w:rPr>
          <w:rFonts w:hint="eastAsia" w:ascii="黑体" w:hAnsi="黑体" w:eastAsia="黑体" w:cs="黑体"/>
          <w:bCs/>
          <w:sz w:val="32"/>
          <w:szCs w:val="32"/>
          <w:highlight w:val="none"/>
        </w:rPr>
        <w:t>政府性基金预算财政拨款收入支出决算表</w:t>
      </w:r>
    </w:p>
    <w:p>
      <w:pPr>
        <w:pStyle w:val="2"/>
        <w:numPr>
          <w:ilvl w:val="0"/>
          <w:numId w:val="0"/>
        </w:numPr>
        <w:rPr>
          <w:rFonts w:hint="eastAsia"/>
        </w:rPr>
      </w:pPr>
      <w:r>
        <w:rPr>
          <w:color w:val="auto"/>
        </w:rPr>
        <w:drawing>
          <wp:inline distT="0" distB="0" distL="114300" distR="114300">
            <wp:extent cx="5270500" cy="3871595"/>
            <wp:effectExtent l="0" t="0" r="6350"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70500" cy="3871595"/>
                    </a:xfrm>
                    <a:prstGeom prst="rect">
                      <a:avLst/>
                    </a:prstGeom>
                    <a:noFill/>
                    <a:ln w="9525">
                      <a:noFill/>
                    </a:ln>
                  </pic:spPr>
                </pic:pic>
              </a:graphicData>
            </a:graphic>
          </wp:inline>
        </w:drawing>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八、国有资本经营预算财政拨款支出决算表</w:t>
      </w:r>
    </w:p>
    <w:p>
      <w:pPr>
        <w:shd w:val="clear" w:color="auto" w:fill="auto"/>
        <w:ind w:firstLine="640"/>
        <w:jc w:val="both"/>
        <w:rPr>
          <w:rFonts w:hint="eastAsia" w:ascii="黑体" w:hAnsi="黑体" w:eastAsia="黑体" w:cs="黑体"/>
          <w:bCs/>
          <w:sz w:val="32"/>
          <w:szCs w:val="32"/>
          <w:highlight w:val="none"/>
          <w:lang w:eastAsia="zh-CN"/>
        </w:rPr>
      </w:pPr>
      <w:r>
        <w:rPr>
          <w:color w:val="auto"/>
        </w:rPr>
        <w:drawing>
          <wp:inline distT="0" distB="0" distL="114300" distR="114300">
            <wp:extent cx="5269865" cy="3736975"/>
            <wp:effectExtent l="0" t="0" r="6985"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9865" cy="3736975"/>
                    </a:xfrm>
                    <a:prstGeom prst="rect">
                      <a:avLst/>
                    </a:prstGeom>
                    <a:noFill/>
                    <a:ln w="9525">
                      <a:noFill/>
                    </a:ln>
                  </pic:spPr>
                </pic:pic>
              </a:graphicData>
            </a:graphic>
          </wp:inline>
        </w:drawing>
      </w:r>
    </w:p>
    <w:p>
      <w:pPr>
        <w:numPr>
          <w:ilvl w:val="0"/>
          <w:numId w:val="3"/>
        </w:numPr>
        <w:shd w:val="clear" w:color="auto" w:fill="auto"/>
        <w:ind w:firstLine="640"/>
        <w:jc w:val="both"/>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一般公共预算财政拨款“三公”经费支出决算表</w:t>
      </w:r>
    </w:p>
    <w:p>
      <w:pPr>
        <w:pStyle w:val="2"/>
        <w:numPr>
          <w:ilvl w:val="0"/>
          <w:numId w:val="0"/>
        </w:numPr>
        <w:rPr>
          <w:rFonts w:hint="eastAsia"/>
          <w:lang w:val="en-US" w:eastAsia="zh-CN"/>
        </w:rPr>
      </w:pPr>
      <w:r>
        <w:rPr>
          <w:color w:val="auto"/>
        </w:rPr>
        <w:drawing>
          <wp:inline distT="0" distB="0" distL="114300" distR="114300">
            <wp:extent cx="5266055" cy="3256280"/>
            <wp:effectExtent l="0" t="0" r="10795" b="12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6055" cy="3256280"/>
                    </a:xfrm>
                    <a:prstGeom prst="rect">
                      <a:avLst/>
                    </a:prstGeom>
                    <a:noFill/>
                    <a:ln w="9525">
                      <a:noFill/>
                    </a:ln>
                  </pic:spPr>
                </pic:pic>
              </a:graphicData>
            </a:graphic>
          </wp:inline>
        </w:drawing>
      </w:r>
    </w:p>
    <w:p>
      <w:pPr>
        <w:shd w:val="clear" w:color="auto" w:fill="auto"/>
        <w:adjustRightInd w:val="0"/>
        <w:snapToGrid w:val="0"/>
        <w:spacing w:line="580" w:lineRule="atLeast"/>
        <w:rPr>
          <w:rFonts w:hint="eastAsia" w:ascii="仿宋_GB2312" w:hAnsi="宋体"/>
          <w:bCs/>
          <w:sz w:val="32"/>
          <w:szCs w:val="32"/>
          <w:highlight w:val="none"/>
          <w:lang w:val="en-US" w:eastAsia="zh-CN"/>
        </w:rPr>
      </w:pPr>
    </w:p>
    <w:p>
      <w:pPr>
        <w:shd w:val="clear" w:color="auto" w:fill="auto"/>
        <w:ind w:firstLine="64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第三部分  2022年度部门决算情况说明</w:t>
      </w:r>
    </w:p>
    <w:p>
      <w:p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一、收入支出决算总体情况说明</w:t>
      </w:r>
    </w:p>
    <w:p>
      <w:pPr>
        <w:shd w:val="clear" w:color="auto" w:fill="auto"/>
        <w:adjustRightInd w:val="0"/>
        <w:snapToGrid w:val="0"/>
        <w:spacing w:line="580" w:lineRule="atLeast"/>
        <w:ind w:firstLine="640" w:firstLineChars="200"/>
        <w:rPr>
          <w:rFonts w:hint="eastAsia" w:ascii="仿宋_GB2312" w:hAnsi="宋体" w:eastAsia="仿宋_GB2312"/>
          <w:bCs/>
          <w:sz w:val="32"/>
          <w:szCs w:val="32"/>
          <w:highlight w:val="none"/>
          <w:lang w:val="en-US" w:eastAsia="zh-CN"/>
        </w:rPr>
      </w:pPr>
      <w:r>
        <w:rPr>
          <w:rFonts w:hint="eastAsia" w:ascii="仿宋_GB2312" w:hAnsi="宋体"/>
          <w:bCs/>
          <w:sz w:val="32"/>
          <w:szCs w:val="32"/>
          <w:highlight w:val="none"/>
          <w:lang w:val="en-US" w:eastAsia="zh-CN"/>
        </w:rPr>
        <w:t>2022年</w:t>
      </w:r>
      <w:r>
        <w:rPr>
          <w:rFonts w:hint="eastAsia" w:ascii="仿宋_GB2312" w:hAnsi="宋体" w:eastAsia="仿宋_GB2312"/>
          <w:bCs/>
          <w:sz w:val="32"/>
          <w:szCs w:val="32"/>
          <w:highlight w:val="none"/>
          <w:lang w:val="en-US" w:eastAsia="zh-CN"/>
        </w:rPr>
        <w:t>度收、支总计</w:t>
      </w:r>
      <w:r>
        <w:rPr>
          <w:rFonts w:hint="eastAsia" w:ascii="仿宋_GB2312" w:hAnsi="宋体"/>
          <w:bCs/>
          <w:sz w:val="32"/>
          <w:szCs w:val="32"/>
          <w:highlight w:val="none"/>
          <w:lang w:val="en-US" w:eastAsia="zh-CN"/>
        </w:rPr>
        <w:t>均为</w:t>
      </w:r>
      <w:r>
        <w:rPr>
          <w:rFonts w:hint="eastAsia" w:ascii="仿宋" w:hAnsi="仿宋" w:eastAsia="仿宋" w:cs="仿宋"/>
          <w:color w:val="auto"/>
          <w:sz w:val="32"/>
          <w:szCs w:val="32"/>
          <w:highlight w:val="none"/>
          <w:shd w:val="clear" w:color="auto" w:fill="FFFFFF"/>
          <w:lang w:val="en-US" w:eastAsia="zh-CN"/>
        </w:rPr>
        <w:t>3947.78</w:t>
      </w:r>
      <w:r>
        <w:rPr>
          <w:rFonts w:hint="eastAsia" w:ascii="仿宋_GB2312" w:hAnsi="宋体" w:eastAsia="仿宋_GB2312"/>
          <w:bCs/>
          <w:sz w:val="32"/>
          <w:szCs w:val="32"/>
          <w:highlight w:val="none"/>
          <w:lang w:val="en-US" w:eastAsia="zh-CN"/>
        </w:rPr>
        <w:t>万元。与</w:t>
      </w:r>
      <w:r>
        <w:rPr>
          <w:rFonts w:hint="eastAsia" w:ascii="仿宋_GB2312" w:hAnsi="宋体"/>
          <w:bCs/>
          <w:sz w:val="32"/>
          <w:szCs w:val="32"/>
          <w:highlight w:val="none"/>
          <w:lang w:val="en-US" w:eastAsia="zh-CN"/>
        </w:rPr>
        <w:t>2021年</w:t>
      </w:r>
      <w:r>
        <w:rPr>
          <w:rFonts w:hint="eastAsia" w:ascii="仿宋_GB2312" w:hAnsi="宋体" w:eastAsia="仿宋_GB2312"/>
          <w:bCs/>
          <w:sz w:val="32"/>
          <w:szCs w:val="32"/>
          <w:highlight w:val="none"/>
          <w:lang w:val="en-US" w:eastAsia="zh-CN"/>
        </w:rPr>
        <w:t>度相比，收、支总计各增加</w:t>
      </w:r>
      <w:r>
        <w:rPr>
          <w:rFonts w:hint="eastAsia" w:ascii="仿宋" w:hAnsi="仿宋" w:eastAsia="仿宋" w:cs="仿宋"/>
          <w:color w:val="auto"/>
          <w:sz w:val="32"/>
          <w:szCs w:val="32"/>
          <w:highlight w:val="none"/>
          <w:shd w:val="clear" w:color="auto" w:fill="FFFFFF"/>
          <w:lang w:val="en-US" w:eastAsia="zh-CN"/>
        </w:rPr>
        <w:t>88.15</w:t>
      </w:r>
      <w:r>
        <w:rPr>
          <w:rFonts w:hint="eastAsia" w:ascii="仿宋_GB2312" w:hAnsi="宋体" w:eastAsia="仿宋_GB2312"/>
          <w:bCs/>
          <w:sz w:val="32"/>
          <w:szCs w:val="32"/>
          <w:highlight w:val="none"/>
          <w:lang w:val="en-US" w:eastAsia="zh-CN"/>
        </w:rPr>
        <w:t>万元，增长</w:t>
      </w:r>
      <w:r>
        <w:rPr>
          <w:rFonts w:hint="eastAsia" w:ascii="仿宋" w:hAnsi="仿宋" w:eastAsia="仿宋" w:cs="仿宋"/>
          <w:color w:val="auto"/>
          <w:sz w:val="32"/>
          <w:szCs w:val="32"/>
          <w:highlight w:val="none"/>
          <w:shd w:val="clear" w:color="auto" w:fill="FFFFFF"/>
          <w:lang w:val="en-US" w:eastAsia="zh-CN"/>
        </w:rPr>
        <w:t>2.28</w:t>
      </w:r>
      <w:r>
        <w:rPr>
          <w:rFonts w:hint="eastAsia" w:ascii="仿宋_GB2312" w:hAnsi="宋体" w:eastAsia="仿宋_GB2312"/>
          <w:bCs/>
          <w:sz w:val="32"/>
          <w:szCs w:val="32"/>
          <w:highlight w:val="none"/>
          <w:lang w:val="en-US" w:eastAsia="zh-CN"/>
        </w:rPr>
        <w:t>%，主要原因是</w:t>
      </w:r>
      <w:r>
        <w:rPr>
          <w:rFonts w:hint="eastAsia" w:ascii="仿宋_GB2312" w:hAnsi="宋体"/>
          <w:bCs/>
          <w:sz w:val="32"/>
          <w:szCs w:val="32"/>
          <w:highlight w:val="none"/>
          <w:lang w:val="en-US" w:eastAsia="zh-CN"/>
        </w:rPr>
        <w:t>人员工资增长导致人员经费增加</w:t>
      </w:r>
      <w:r>
        <w:rPr>
          <w:rFonts w:hint="eastAsia" w:ascii="仿宋_GB2312" w:hAnsi="宋体" w:eastAsia="仿宋_GB2312"/>
          <w:bCs/>
          <w:sz w:val="32"/>
          <w:szCs w:val="32"/>
          <w:highlight w:val="none"/>
          <w:lang w:val="en-US" w:eastAsia="zh-CN"/>
        </w:rPr>
        <w:t>。</w:t>
      </w:r>
    </w:p>
    <w:p>
      <w:pPr>
        <w:numPr>
          <w:ilvl w:val="0"/>
          <w:numId w:val="0"/>
        </w:numPr>
        <w:shd w:val="clear" w:color="auto" w:fill="auto"/>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二、收入决算情况说明</w:t>
      </w:r>
    </w:p>
    <w:p>
      <w:pPr>
        <w:shd w:val="clear" w:color="auto" w:fill="auto"/>
        <w:bidi w:val="0"/>
        <w:rPr>
          <w:rFonts w:hint="default"/>
          <w:b/>
          <w:bCs/>
          <w:color w:val="FF0000"/>
          <w:lang w:val="en-US" w:eastAsia="zh-CN"/>
        </w:rPr>
      </w:pPr>
      <w:r>
        <w:rPr>
          <w:rFonts w:hint="eastAsia" w:ascii="仿宋_GB2312" w:hAnsi="宋体"/>
          <w:bCs/>
          <w:szCs w:val="32"/>
          <w:highlight w:val="none"/>
          <w:lang w:val="en-US" w:eastAsia="zh-CN"/>
        </w:rPr>
        <w:t xml:space="preserve">    2022年度收入合计</w:t>
      </w:r>
      <w:r>
        <w:rPr>
          <w:rFonts w:hint="eastAsia" w:ascii="仿宋" w:hAnsi="仿宋" w:eastAsia="仿宋" w:cs="仿宋"/>
          <w:color w:val="auto"/>
          <w:sz w:val="32"/>
          <w:szCs w:val="32"/>
          <w:highlight w:val="none"/>
          <w:shd w:val="clear" w:color="auto" w:fill="FFFFFF"/>
          <w:lang w:val="en-US" w:eastAsia="zh-CN"/>
        </w:rPr>
        <w:t>3947.78</w:t>
      </w:r>
      <w:r>
        <w:rPr>
          <w:rFonts w:hint="eastAsia" w:ascii="仿宋_GB2312" w:hAnsi="宋体"/>
          <w:bCs/>
          <w:szCs w:val="32"/>
          <w:highlight w:val="none"/>
          <w:lang w:val="en-US" w:eastAsia="zh-CN"/>
        </w:rPr>
        <w:t>万元，与2021年度相比，收入合计增加</w:t>
      </w:r>
      <w:r>
        <w:rPr>
          <w:rFonts w:hint="eastAsia" w:ascii="仿宋" w:hAnsi="仿宋" w:eastAsia="仿宋" w:cs="仿宋"/>
          <w:color w:val="auto"/>
          <w:sz w:val="32"/>
          <w:szCs w:val="32"/>
          <w:highlight w:val="none"/>
          <w:shd w:val="clear" w:color="auto" w:fill="FFFFFF"/>
          <w:lang w:val="en-US" w:eastAsia="zh-CN"/>
        </w:rPr>
        <w:t>88.15</w:t>
      </w:r>
      <w:r>
        <w:rPr>
          <w:rFonts w:hint="eastAsia" w:ascii="仿宋_GB2312" w:hAnsi="宋体"/>
          <w:bCs/>
          <w:szCs w:val="32"/>
          <w:highlight w:val="none"/>
          <w:lang w:val="en-US" w:eastAsia="zh-CN"/>
        </w:rPr>
        <w:t>万元，增长2.28%。其中：财政拨款收入</w:t>
      </w:r>
      <w:r>
        <w:rPr>
          <w:rFonts w:hint="eastAsia" w:ascii="仿宋" w:hAnsi="仿宋" w:eastAsia="仿宋" w:cs="仿宋"/>
          <w:color w:val="auto"/>
          <w:sz w:val="32"/>
          <w:szCs w:val="32"/>
          <w:highlight w:val="none"/>
          <w:shd w:val="clear" w:color="auto" w:fill="FFFFFF"/>
          <w:lang w:val="en-US" w:eastAsia="zh-CN"/>
        </w:rPr>
        <w:t>3947.78</w:t>
      </w:r>
      <w:r>
        <w:rPr>
          <w:rFonts w:hint="eastAsia" w:ascii="仿宋_GB2312" w:hAnsi="宋体"/>
          <w:bCs/>
          <w:szCs w:val="32"/>
          <w:highlight w:val="none"/>
          <w:lang w:val="en-US" w:eastAsia="zh-CN"/>
        </w:rPr>
        <w:t>万元，占本年收入100%；上级补助收入0万元，占本年收入0%；事业收入0万元，占本年收入0%；经营收入0万元，占</w:t>
      </w:r>
      <w:r>
        <w:rPr>
          <w:rFonts w:hint="eastAsia"/>
          <w:lang w:val="en-US" w:eastAsia="zh-CN"/>
        </w:rPr>
        <w:t>本年收入0%；附属单位上缴收入0</w:t>
      </w:r>
      <w:r>
        <w:rPr>
          <w:rFonts w:hint="eastAsia"/>
          <w:u w:val="none"/>
          <w:lang w:val="en-US" w:eastAsia="zh-CN"/>
        </w:rPr>
        <w:t>万元，</w:t>
      </w:r>
      <w:r>
        <w:rPr>
          <w:rFonts w:hint="eastAsia" w:ascii="仿宋_GB2312" w:hAnsi="宋体"/>
          <w:bCs/>
          <w:szCs w:val="32"/>
          <w:highlight w:val="none"/>
          <w:lang w:val="en-US" w:eastAsia="zh-CN"/>
        </w:rPr>
        <w:t>占</w:t>
      </w:r>
      <w:r>
        <w:rPr>
          <w:rFonts w:hint="eastAsia"/>
          <w:lang w:val="en-US" w:eastAsia="zh-CN"/>
        </w:rPr>
        <w:t>本年收入0%；其他收入0万元，占本年收入0%。</w:t>
      </w:r>
    </w:p>
    <w:p>
      <w:pPr>
        <w:numPr>
          <w:ilvl w:val="0"/>
          <w:numId w:val="4"/>
        </w:numPr>
        <w:shd w:val="clear" w:color="auto" w:fill="auto"/>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支出决算情况说明</w:t>
      </w:r>
    </w:p>
    <w:p>
      <w:pPr>
        <w:numPr>
          <w:ilvl w:val="0"/>
          <w:numId w:val="0"/>
        </w:numPr>
        <w:shd w:val="clear" w:color="auto" w:fill="auto"/>
        <w:bidi w:val="0"/>
        <w:ind w:firstLine="640" w:firstLineChars="200"/>
        <w:rPr>
          <w:rFonts w:hint="eastAsia" w:ascii="仿宋" w:hAnsi="仿宋" w:eastAsia="仿宋" w:cs="仿宋"/>
          <w:color w:val="auto"/>
          <w:lang w:val="en-US" w:eastAsia="zh-CN"/>
        </w:rPr>
      </w:pPr>
      <w:r>
        <w:rPr>
          <w:rFonts w:hint="eastAsia"/>
          <w:lang w:eastAsia="zh-CN"/>
        </w:rPr>
        <w:t>202</w:t>
      </w:r>
      <w:r>
        <w:rPr>
          <w:rFonts w:hint="eastAsia"/>
          <w:lang w:val="en-US" w:eastAsia="zh-CN"/>
        </w:rPr>
        <w:t>2</w:t>
      </w:r>
      <w:r>
        <w:rPr>
          <w:rFonts w:hint="eastAsia"/>
          <w:lang w:eastAsia="zh-CN"/>
        </w:rPr>
        <w:t>年</w:t>
      </w:r>
      <w:r>
        <w:rPr>
          <w:rFonts w:hint="eastAsia"/>
        </w:rPr>
        <w:t>度支出合计</w:t>
      </w:r>
      <w:r>
        <w:rPr>
          <w:rFonts w:hint="eastAsia" w:ascii="仿宋" w:hAnsi="仿宋" w:eastAsia="仿宋" w:cs="仿宋"/>
          <w:color w:val="auto"/>
          <w:sz w:val="32"/>
          <w:szCs w:val="32"/>
          <w:highlight w:val="none"/>
          <w:shd w:val="clear" w:color="auto" w:fill="FFFFFF"/>
          <w:lang w:val="en-US" w:eastAsia="zh-CN"/>
        </w:rPr>
        <w:t>3947.78</w:t>
      </w:r>
      <w:r>
        <w:rPr>
          <w:rFonts w:hint="eastAsia"/>
        </w:rPr>
        <w:t>万元</w:t>
      </w:r>
      <w:r>
        <w:rPr>
          <w:rFonts w:hint="eastAsia"/>
          <w:lang w:eastAsia="zh-CN"/>
        </w:rPr>
        <w:t>，</w:t>
      </w:r>
      <w:r>
        <w:rPr>
          <w:rFonts w:hint="eastAsia"/>
          <w:lang w:val="en-US" w:eastAsia="zh-CN"/>
        </w:rPr>
        <w:t>与2021年度相比，支出合计增加</w:t>
      </w:r>
      <w:r>
        <w:rPr>
          <w:rFonts w:hint="eastAsia" w:ascii="仿宋" w:hAnsi="仿宋" w:eastAsia="仿宋" w:cs="仿宋"/>
          <w:color w:val="auto"/>
          <w:sz w:val="32"/>
          <w:szCs w:val="32"/>
          <w:highlight w:val="none"/>
          <w:shd w:val="clear" w:color="auto" w:fill="FFFFFF"/>
          <w:lang w:val="en-US" w:eastAsia="zh-CN"/>
        </w:rPr>
        <w:t>88.15</w:t>
      </w:r>
      <w:r>
        <w:rPr>
          <w:rFonts w:hint="eastAsia"/>
          <w:lang w:val="en-US" w:eastAsia="zh-CN"/>
        </w:rPr>
        <w:t>万元，增长</w:t>
      </w:r>
      <w:r>
        <w:rPr>
          <w:rFonts w:hint="eastAsia" w:ascii="仿宋_GB2312" w:hAnsi="宋体"/>
          <w:bCs/>
          <w:szCs w:val="32"/>
          <w:highlight w:val="none"/>
          <w:lang w:val="en-US" w:eastAsia="zh-CN"/>
        </w:rPr>
        <w:t>2.28</w:t>
      </w:r>
      <w:r>
        <w:rPr>
          <w:rFonts w:hint="eastAsia"/>
          <w:lang w:val="en-US" w:eastAsia="zh-CN"/>
        </w:rPr>
        <w:t>%。</w:t>
      </w:r>
      <w:r>
        <w:rPr>
          <w:rFonts w:hint="eastAsia" w:ascii="仿宋_GB2312" w:eastAsia="仿宋_GB2312"/>
          <w:bCs/>
          <w:kern w:val="44"/>
          <w:szCs w:val="32"/>
          <w:highlight w:val="none"/>
        </w:rPr>
        <w:t>其中：基本支出</w:t>
      </w:r>
      <w:r>
        <w:rPr>
          <w:rFonts w:hint="eastAsia" w:ascii="仿宋_GB2312" w:eastAsia="仿宋_GB2312"/>
          <w:bCs/>
          <w:kern w:val="44"/>
          <w:szCs w:val="32"/>
          <w:highlight w:val="none"/>
          <w:u w:val="single"/>
        </w:rPr>
        <w:t xml:space="preserve">    </w:t>
      </w:r>
      <w:r>
        <w:rPr>
          <w:rFonts w:hint="eastAsia" w:ascii="仿宋" w:hAnsi="仿宋" w:eastAsia="仿宋" w:cs="仿宋"/>
          <w:color w:val="auto"/>
          <w:sz w:val="32"/>
          <w:szCs w:val="32"/>
          <w:highlight w:val="none"/>
          <w:shd w:val="clear" w:color="auto" w:fill="FFFFFF"/>
          <w:lang w:val="en-US" w:eastAsia="zh-CN"/>
        </w:rPr>
        <w:t>3423.86</w:t>
      </w:r>
      <w:r>
        <w:rPr>
          <w:rFonts w:hint="eastAsia" w:ascii="仿宋_GB2312" w:eastAsia="仿宋_GB2312"/>
          <w:bCs/>
          <w:kern w:val="44"/>
          <w:szCs w:val="32"/>
          <w:highlight w:val="none"/>
        </w:rPr>
        <w:t>万元，占本年支出</w:t>
      </w:r>
      <w:r>
        <w:rPr>
          <w:rFonts w:hint="eastAsia" w:ascii="仿宋" w:hAnsi="仿宋" w:eastAsia="仿宋" w:cs="仿宋"/>
          <w:color w:val="auto"/>
          <w:sz w:val="32"/>
          <w:szCs w:val="32"/>
          <w:highlight w:val="none"/>
          <w:shd w:val="clear" w:color="auto" w:fill="FFFFFF"/>
        </w:rPr>
        <w:t>8</w:t>
      </w:r>
      <w:r>
        <w:rPr>
          <w:rFonts w:hint="eastAsia" w:ascii="仿宋" w:hAnsi="仿宋" w:eastAsia="仿宋" w:cs="仿宋"/>
          <w:color w:val="auto"/>
          <w:sz w:val="32"/>
          <w:szCs w:val="32"/>
          <w:highlight w:val="none"/>
          <w:shd w:val="clear" w:color="auto" w:fill="FFFFFF"/>
          <w:lang w:val="en-US" w:eastAsia="zh-CN"/>
        </w:rPr>
        <w:t>6.73</w:t>
      </w:r>
      <w:r>
        <w:rPr>
          <w:rFonts w:hint="eastAsia" w:ascii="仿宋_GB2312" w:eastAsia="仿宋_GB2312"/>
          <w:bCs/>
          <w:kern w:val="44"/>
          <w:szCs w:val="32"/>
          <w:highlight w:val="none"/>
        </w:rPr>
        <w:t>%；项目支出</w:t>
      </w:r>
      <w:r>
        <w:rPr>
          <w:rFonts w:hint="eastAsia" w:ascii="仿宋" w:hAnsi="仿宋" w:eastAsia="仿宋" w:cs="仿宋"/>
          <w:color w:val="auto"/>
          <w:sz w:val="32"/>
          <w:szCs w:val="32"/>
          <w:highlight w:val="none"/>
          <w:shd w:val="clear" w:color="auto" w:fill="FFFFFF"/>
          <w:lang w:val="en-US" w:eastAsia="zh-CN"/>
        </w:rPr>
        <w:t>523.93</w:t>
      </w:r>
      <w:r>
        <w:rPr>
          <w:rFonts w:hint="eastAsia" w:ascii="仿宋_GB2312" w:eastAsia="仿宋_GB2312"/>
          <w:bCs/>
          <w:kern w:val="44"/>
          <w:szCs w:val="32"/>
          <w:highlight w:val="none"/>
        </w:rPr>
        <w:t>万元，占本年支出</w:t>
      </w:r>
      <w:r>
        <w:rPr>
          <w:rFonts w:hint="eastAsia" w:ascii="仿宋" w:hAnsi="仿宋" w:eastAsia="仿宋" w:cs="仿宋"/>
          <w:color w:val="auto"/>
          <w:sz w:val="32"/>
          <w:szCs w:val="32"/>
          <w:highlight w:val="none"/>
          <w:shd w:val="clear" w:color="auto" w:fill="FFFFFF"/>
          <w:lang w:val="en-US" w:eastAsia="zh-CN"/>
        </w:rPr>
        <w:t>13.27</w:t>
      </w:r>
      <w:r>
        <w:rPr>
          <w:rFonts w:hint="eastAsia" w:ascii="仿宋_GB2312" w:eastAsia="仿宋_GB2312"/>
          <w:bCs/>
          <w:kern w:val="44"/>
          <w:szCs w:val="32"/>
          <w:highlight w:val="none"/>
        </w:rPr>
        <w:t>%；上缴上级支出</w:t>
      </w:r>
      <w:r>
        <w:rPr>
          <w:rFonts w:hint="eastAsia" w:ascii="仿宋_GB2312"/>
          <w:bCs/>
          <w:kern w:val="44"/>
          <w:szCs w:val="32"/>
          <w:highlight w:val="none"/>
          <w:lang w:val="en-US" w:eastAsia="zh-CN"/>
        </w:rPr>
        <w:t>0</w:t>
      </w:r>
      <w:r>
        <w:rPr>
          <w:rFonts w:hint="eastAsia" w:ascii="仿宋_GB2312" w:eastAsia="仿宋_GB2312"/>
          <w:bCs/>
          <w:kern w:val="44"/>
          <w:szCs w:val="32"/>
          <w:highlight w:val="none"/>
        </w:rPr>
        <w:t>万元，占本年支出</w:t>
      </w:r>
      <w:r>
        <w:rPr>
          <w:rFonts w:hint="eastAsia" w:ascii="仿宋_GB2312"/>
          <w:bCs/>
          <w:kern w:val="44"/>
          <w:szCs w:val="32"/>
          <w:highlight w:val="none"/>
          <w:lang w:val="en-US" w:eastAsia="zh-CN"/>
        </w:rPr>
        <w:t>0</w:t>
      </w:r>
      <w:r>
        <w:rPr>
          <w:rFonts w:hint="eastAsia" w:ascii="仿宋_GB2312" w:eastAsia="仿宋_GB2312"/>
          <w:bCs/>
          <w:kern w:val="44"/>
          <w:szCs w:val="32"/>
          <w:highlight w:val="none"/>
        </w:rPr>
        <w:t>%；经营支出</w:t>
      </w:r>
      <w:r>
        <w:rPr>
          <w:rFonts w:hint="eastAsia" w:ascii="仿宋_GB2312"/>
          <w:bCs/>
          <w:kern w:val="44"/>
          <w:szCs w:val="32"/>
          <w:highlight w:val="none"/>
          <w:lang w:val="en-US" w:eastAsia="zh-CN"/>
        </w:rPr>
        <w:t>0</w:t>
      </w:r>
      <w:r>
        <w:rPr>
          <w:rFonts w:hint="eastAsia" w:ascii="仿宋_GB2312" w:eastAsia="仿宋_GB2312"/>
          <w:bCs/>
          <w:kern w:val="44"/>
          <w:szCs w:val="32"/>
          <w:highlight w:val="none"/>
        </w:rPr>
        <w:t>万元，占本年支出</w:t>
      </w:r>
      <w:r>
        <w:rPr>
          <w:rFonts w:hint="eastAsia" w:ascii="仿宋_GB2312"/>
          <w:bCs/>
          <w:kern w:val="44"/>
          <w:szCs w:val="32"/>
          <w:highlight w:val="none"/>
          <w:lang w:val="en-US" w:eastAsia="zh-CN"/>
        </w:rPr>
        <w:t>0</w:t>
      </w:r>
      <w:r>
        <w:rPr>
          <w:rFonts w:hint="eastAsia" w:ascii="仿宋_GB2312" w:eastAsia="仿宋_GB2312"/>
          <w:bCs/>
          <w:kern w:val="44"/>
          <w:szCs w:val="32"/>
          <w:highlight w:val="none"/>
        </w:rPr>
        <w:t>%</w:t>
      </w:r>
      <w:r>
        <w:rPr>
          <w:rFonts w:hint="eastAsia" w:ascii="仿宋_GB2312"/>
          <w:bCs/>
          <w:kern w:val="44"/>
          <w:szCs w:val="32"/>
          <w:highlight w:val="none"/>
          <w:lang w:eastAsia="zh-CN"/>
        </w:rPr>
        <w:t>；对附属单位补助支出</w:t>
      </w:r>
      <w:r>
        <w:rPr>
          <w:rFonts w:hint="eastAsia" w:ascii="仿宋_GB2312"/>
          <w:bCs/>
          <w:kern w:val="44"/>
          <w:szCs w:val="32"/>
          <w:highlight w:val="none"/>
          <w:lang w:val="en-US" w:eastAsia="zh-CN"/>
        </w:rPr>
        <w:t>0</w:t>
      </w:r>
      <w:r>
        <w:rPr>
          <w:rFonts w:hint="eastAsia" w:ascii="仿宋_GB2312"/>
          <w:bCs/>
          <w:kern w:val="44"/>
          <w:szCs w:val="32"/>
          <w:highlight w:val="none"/>
          <w:u w:val="none"/>
          <w:lang w:val="en-US" w:eastAsia="zh-CN"/>
        </w:rPr>
        <w:t>万元，</w:t>
      </w:r>
      <w:r>
        <w:rPr>
          <w:rFonts w:hint="eastAsia" w:ascii="仿宋_GB2312" w:eastAsia="仿宋_GB2312"/>
          <w:bCs/>
          <w:kern w:val="44"/>
          <w:szCs w:val="32"/>
          <w:highlight w:val="none"/>
        </w:rPr>
        <w:t>占本年支出</w:t>
      </w:r>
      <w:r>
        <w:rPr>
          <w:rFonts w:hint="eastAsia" w:ascii="仿宋_GB2312"/>
          <w:bCs/>
          <w:kern w:val="44"/>
          <w:szCs w:val="32"/>
          <w:highlight w:val="none"/>
          <w:lang w:val="en-US" w:eastAsia="zh-CN"/>
        </w:rPr>
        <w:t>0</w:t>
      </w:r>
      <w:r>
        <w:rPr>
          <w:rFonts w:hint="eastAsia" w:ascii="仿宋_GB2312" w:eastAsia="仿宋_GB2312"/>
          <w:bCs/>
          <w:kern w:val="44"/>
          <w:szCs w:val="32"/>
          <w:highlight w:val="none"/>
        </w:rPr>
        <w:t>%。</w:t>
      </w:r>
      <w:r>
        <w:rPr>
          <w:rFonts w:hint="eastAsia" w:ascii="仿宋" w:hAnsi="仿宋" w:eastAsia="仿宋" w:cs="仿宋"/>
          <w:b w:val="0"/>
          <w:bCs/>
          <w:color w:val="auto"/>
          <w:kern w:val="44"/>
          <w:szCs w:val="32"/>
          <w:highlight w:val="none"/>
          <w:lang w:val="en-US" w:eastAsia="zh-CN"/>
        </w:rPr>
        <w:t>2022年</w:t>
      </w:r>
      <w:r>
        <w:rPr>
          <w:rFonts w:hint="eastAsia" w:ascii="仿宋" w:hAnsi="仿宋" w:eastAsia="仿宋" w:cs="仿宋"/>
          <w:b w:val="0"/>
          <w:bCs/>
          <w:color w:val="auto"/>
          <w:kern w:val="44"/>
          <w:szCs w:val="32"/>
          <w:highlight w:val="none"/>
          <w:lang w:eastAsia="zh-CN"/>
        </w:rPr>
        <w:t>基本支出按支出功能分类，财政事务支出3400.11万元，纪检监察事务支出3.94万元，抚恤支出19.81万元。2022年项目支出按支出功能分类，财政事务支出508.54万元，商贸事务支出为5.39万元，发展与改革事务支出为10万元。</w:t>
      </w:r>
    </w:p>
    <w:p>
      <w:pPr>
        <w:numPr>
          <w:ilvl w:val="0"/>
          <w:numId w:val="4"/>
        </w:numPr>
        <w:shd w:val="clear" w:color="auto" w:fill="auto"/>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财政拨款收入支出决算总体情况说明</w:t>
      </w:r>
    </w:p>
    <w:p>
      <w:pPr>
        <w:numPr>
          <w:ilvl w:val="0"/>
          <w:numId w:val="0"/>
        </w:numPr>
        <w:shd w:val="clear" w:color="auto" w:fill="auto"/>
        <w:bidi w:val="0"/>
        <w:ind w:firstLine="640" w:firstLineChars="200"/>
        <w:rPr>
          <w:rFonts w:hint="eastAsia"/>
        </w:rPr>
      </w:pPr>
      <w:r>
        <w:rPr>
          <w:rFonts w:hint="eastAsia"/>
          <w:lang w:eastAsia="zh-CN"/>
        </w:rPr>
        <w:t>202</w:t>
      </w:r>
      <w:r>
        <w:rPr>
          <w:rFonts w:hint="eastAsia"/>
          <w:lang w:val="en-US" w:eastAsia="zh-CN"/>
        </w:rPr>
        <w:t>2</w:t>
      </w:r>
      <w:r>
        <w:rPr>
          <w:rFonts w:hint="eastAsia"/>
          <w:lang w:eastAsia="zh-CN"/>
        </w:rPr>
        <w:t>年</w:t>
      </w:r>
      <w:r>
        <w:rPr>
          <w:rFonts w:hint="eastAsia"/>
        </w:rPr>
        <w:t>度财政拨款收、支总计</w:t>
      </w:r>
      <w:r>
        <w:rPr>
          <w:rFonts w:hint="eastAsia"/>
          <w:lang w:val="en-US" w:eastAsia="zh-CN"/>
        </w:rPr>
        <w:t>均为</w:t>
      </w:r>
      <w:r>
        <w:rPr>
          <w:rFonts w:hint="eastAsia" w:ascii="仿宋" w:hAnsi="仿宋" w:eastAsia="仿宋" w:cs="仿宋"/>
          <w:color w:val="auto"/>
          <w:sz w:val="32"/>
          <w:szCs w:val="32"/>
          <w:highlight w:val="none"/>
          <w:shd w:val="clear" w:color="auto" w:fill="FFFFFF"/>
          <w:lang w:val="en-US" w:eastAsia="zh-CN"/>
        </w:rPr>
        <w:t>3947.78</w:t>
      </w:r>
      <w:r>
        <w:rPr>
          <w:rFonts w:hint="eastAsia"/>
        </w:rPr>
        <w:t>万元。与</w:t>
      </w:r>
      <w:r>
        <w:rPr>
          <w:rFonts w:hint="eastAsia"/>
          <w:lang w:eastAsia="zh-CN"/>
        </w:rPr>
        <w:t>202</w:t>
      </w:r>
      <w:r>
        <w:rPr>
          <w:rFonts w:hint="eastAsia"/>
          <w:lang w:val="en-US" w:eastAsia="zh-CN"/>
        </w:rPr>
        <w:t>1</w:t>
      </w:r>
      <w:r>
        <w:rPr>
          <w:rFonts w:hint="eastAsia"/>
          <w:lang w:eastAsia="zh-CN"/>
        </w:rPr>
        <w:t>年度</w:t>
      </w:r>
      <w:r>
        <w:rPr>
          <w:rFonts w:hint="eastAsia"/>
        </w:rPr>
        <w:t>相比，财政拨款收、支总计各增加</w:t>
      </w:r>
      <w:r>
        <w:rPr>
          <w:rFonts w:hint="eastAsia"/>
          <w:lang w:val="en-US" w:eastAsia="zh-CN"/>
        </w:rPr>
        <w:t>88.15</w:t>
      </w:r>
      <w:r>
        <w:rPr>
          <w:rFonts w:hint="eastAsia"/>
        </w:rPr>
        <w:t xml:space="preserve">万元，增长 </w:t>
      </w:r>
      <w:r>
        <w:rPr>
          <w:rFonts w:hint="eastAsia" w:ascii="仿宋" w:hAnsi="仿宋" w:eastAsia="仿宋" w:cs="仿宋"/>
          <w:color w:val="auto"/>
          <w:sz w:val="32"/>
          <w:szCs w:val="32"/>
          <w:highlight w:val="none"/>
          <w:shd w:val="clear" w:color="auto" w:fill="FFFFFF"/>
          <w:lang w:val="en-US" w:eastAsia="zh-CN"/>
        </w:rPr>
        <w:t>2.28</w:t>
      </w:r>
      <w:r>
        <w:rPr>
          <w:rFonts w:hint="eastAsia"/>
        </w:rPr>
        <w:t>%。主要原因是</w:t>
      </w:r>
      <w:r>
        <w:rPr>
          <w:rFonts w:hint="eastAsia" w:ascii="仿宋_GB2312" w:hAnsi="宋体"/>
          <w:bCs/>
          <w:sz w:val="32"/>
          <w:szCs w:val="32"/>
          <w:highlight w:val="none"/>
          <w:lang w:val="en-US" w:eastAsia="zh-CN"/>
        </w:rPr>
        <w:t>人员工资增长导致人员经费增加</w:t>
      </w:r>
      <w:r>
        <w:rPr>
          <w:rFonts w:hint="eastAsia"/>
        </w:rPr>
        <w:t>。</w:t>
      </w:r>
    </w:p>
    <w:p>
      <w:pPr>
        <w:shd w:val="clear" w:color="auto" w:fill="auto"/>
        <w:bidi w:val="0"/>
        <w:ind w:firstLine="640" w:firstLineChars="200"/>
        <w:rPr>
          <w:rFonts w:hint="eastAsia"/>
          <w:color w:val="auto"/>
          <w:highlight w:val="none"/>
          <w:lang w:val="en-US" w:eastAsia="zh-CN"/>
        </w:rPr>
      </w:pPr>
      <w:r>
        <w:rPr>
          <w:rFonts w:hint="eastAsia"/>
          <w:lang w:val="en-US" w:eastAsia="zh-CN"/>
        </w:rPr>
        <w:t>2022年度财政拨款收入中，一般公共预算财政拨款收入</w:t>
      </w:r>
      <w:r>
        <w:rPr>
          <w:rFonts w:hint="eastAsia"/>
          <w:u w:val="single"/>
          <w:lang w:val="en-US" w:eastAsia="zh-CN"/>
        </w:rPr>
        <w:t xml:space="preserve">    </w:t>
      </w:r>
      <w:r>
        <w:rPr>
          <w:rFonts w:hint="eastAsia"/>
        </w:rPr>
        <w:t>万元</w:t>
      </w:r>
      <w:r>
        <w:rPr>
          <w:rFonts w:hint="eastAsia"/>
          <w:lang w:eastAsia="zh-CN"/>
        </w:rPr>
        <w:t>，比</w:t>
      </w:r>
      <w:r>
        <w:rPr>
          <w:rFonts w:hint="eastAsia"/>
          <w:lang w:val="en-US" w:eastAsia="zh-CN"/>
        </w:rPr>
        <w:t>2021年度决算数增加88.15</w:t>
      </w:r>
      <w:r>
        <w:rPr>
          <w:rFonts w:hint="eastAsia"/>
          <w:u w:val="none"/>
          <w:lang w:val="en-US" w:eastAsia="zh-CN"/>
        </w:rPr>
        <w:t>万元</w:t>
      </w:r>
      <w:r>
        <w:rPr>
          <w:rFonts w:hint="eastAsia" w:ascii="仿宋_GB2312" w:hAnsi="宋体"/>
          <w:bCs/>
          <w:szCs w:val="32"/>
          <w:highlight w:val="none"/>
          <w:lang w:val="en-US" w:eastAsia="zh-CN"/>
        </w:rPr>
        <w:t>。</w:t>
      </w:r>
      <w:r>
        <w:rPr>
          <w:rFonts w:hint="eastAsia"/>
          <w:lang w:eastAsia="zh-CN"/>
        </w:rPr>
        <w:t>增加</w:t>
      </w:r>
      <w:r>
        <w:rPr>
          <w:rFonts w:hint="eastAsia"/>
        </w:rPr>
        <w:t>主要原因是</w:t>
      </w:r>
      <w:r>
        <w:rPr>
          <w:rFonts w:hint="eastAsia" w:ascii="仿宋_GB2312" w:hAnsi="宋体"/>
          <w:bCs/>
          <w:sz w:val="32"/>
          <w:szCs w:val="32"/>
          <w:highlight w:val="none"/>
          <w:lang w:val="en-US" w:eastAsia="zh-CN"/>
        </w:rPr>
        <w:t>人员工资增长导致人员经费增加</w:t>
      </w:r>
      <w:r>
        <w:rPr>
          <w:rFonts w:hint="eastAsia"/>
        </w:rPr>
        <w:t>。</w:t>
      </w:r>
      <w:r>
        <w:rPr>
          <w:rFonts w:hint="eastAsia"/>
          <w:color w:val="auto"/>
          <w:highlight w:val="none"/>
          <w:lang w:eastAsia="zh-CN"/>
        </w:rPr>
        <w:t>政府性基金预算财政拨款收入</w:t>
      </w:r>
      <w:r>
        <w:rPr>
          <w:rFonts w:hint="eastAsia"/>
          <w:color w:val="auto"/>
          <w:highlight w:val="none"/>
          <w:lang w:val="en-US" w:eastAsia="zh-CN"/>
        </w:rPr>
        <w:t>0</w:t>
      </w:r>
      <w:r>
        <w:rPr>
          <w:rFonts w:hint="eastAsia"/>
          <w:color w:val="auto"/>
          <w:highlight w:val="none"/>
          <w:u w:val="none"/>
          <w:lang w:val="en-US" w:eastAsia="zh-CN"/>
        </w:rPr>
        <w:t>万元，</w:t>
      </w:r>
      <w:r>
        <w:rPr>
          <w:rFonts w:hint="eastAsia"/>
          <w:color w:val="auto"/>
          <w:highlight w:val="none"/>
          <w:lang w:eastAsia="zh-CN"/>
        </w:rPr>
        <w:t>与</w:t>
      </w:r>
      <w:r>
        <w:rPr>
          <w:rFonts w:hint="eastAsia"/>
          <w:color w:val="auto"/>
          <w:highlight w:val="none"/>
          <w:lang w:val="en-US" w:eastAsia="zh-CN"/>
        </w:rPr>
        <w:t>2021年度持平</w:t>
      </w:r>
      <w:r>
        <w:rPr>
          <w:rFonts w:hint="eastAsia" w:ascii="仿宋_GB2312" w:hAnsi="宋体"/>
          <w:bCs/>
          <w:color w:val="auto"/>
          <w:szCs w:val="32"/>
          <w:highlight w:val="none"/>
          <w:lang w:val="en-US" w:eastAsia="zh-CN"/>
        </w:rPr>
        <w:t>。</w:t>
      </w:r>
      <w:r>
        <w:rPr>
          <w:rFonts w:hint="eastAsia"/>
          <w:color w:val="auto"/>
          <w:highlight w:val="none"/>
        </w:rPr>
        <w:t>国有资本经营预算财政拨款收入</w:t>
      </w:r>
      <w:r>
        <w:rPr>
          <w:rFonts w:hint="eastAsia"/>
          <w:color w:val="auto"/>
          <w:highlight w:val="none"/>
          <w:lang w:val="en-US" w:eastAsia="zh-CN"/>
        </w:rPr>
        <w:t>0</w:t>
      </w:r>
      <w:r>
        <w:rPr>
          <w:rFonts w:hint="eastAsia"/>
          <w:color w:val="auto"/>
          <w:highlight w:val="none"/>
          <w:u w:val="none"/>
          <w:lang w:val="en-US" w:eastAsia="zh-CN"/>
        </w:rPr>
        <w:t>万元，</w:t>
      </w:r>
      <w:r>
        <w:rPr>
          <w:rFonts w:hint="eastAsia"/>
          <w:color w:val="auto"/>
          <w:highlight w:val="none"/>
          <w:lang w:eastAsia="zh-CN"/>
        </w:rPr>
        <w:t>与</w:t>
      </w:r>
      <w:r>
        <w:rPr>
          <w:rFonts w:hint="eastAsia"/>
          <w:color w:val="auto"/>
          <w:highlight w:val="none"/>
          <w:lang w:val="en-US" w:eastAsia="zh-CN"/>
        </w:rPr>
        <w:t>2021年度持平。</w:t>
      </w:r>
    </w:p>
    <w:p>
      <w:pPr>
        <w:numPr>
          <w:ilvl w:val="0"/>
          <w:numId w:val="0"/>
        </w:numPr>
        <w:shd w:val="clear" w:color="auto" w:fill="auto"/>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五、一般公共预算财政拨款支出决算情况说明</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楷体_GB2312" w:hAnsi="楷体_GB2312" w:eastAsia="楷体_GB2312" w:cs="楷体_GB2312"/>
          <w:bCs/>
          <w:kern w:val="44"/>
          <w:sz w:val="32"/>
          <w:szCs w:val="32"/>
          <w:highlight w:val="none"/>
        </w:rPr>
      </w:pPr>
      <w:r>
        <w:rPr>
          <w:rFonts w:hint="eastAsia" w:ascii="楷体_GB2312" w:hAnsi="楷体_GB2312" w:eastAsia="楷体_GB2312" w:cs="楷体_GB2312"/>
          <w:bCs/>
          <w:kern w:val="44"/>
          <w:sz w:val="32"/>
          <w:szCs w:val="32"/>
          <w:highlight w:val="none"/>
        </w:rPr>
        <w:t>（一）</w:t>
      </w:r>
      <w:r>
        <w:rPr>
          <w:rFonts w:hint="eastAsia" w:ascii="楷体_GB2312" w:hAnsi="楷体_GB2312" w:eastAsia="楷体_GB2312" w:cs="楷体_GB2312"/>
          <w:bCs/>
          <w:kern w:val="44"/>
          <w:sz w:val="32"/>
          <w:szCs w:val="32"/>
          <w:highlight w:val="none"/>
          <w:lang w:eastAsia="zh-CN"/>
        </w:rPr>
        <w:t>一般公共预算</w:t>
      </w:r>
      <w:r>
        <w:rPr>
          <w:rFonts w:hint="eastAsia" w:ascii="楷体_GB2312" w:hAnsi="楷体_GB2312" w:eastAsia="楷体_GB2312" w:cs="楷体_GB2312"/>
          <w:bCs/>
          <w:kern w:val="44"/>
          <w:sz w:val="32"/>
          <w:szCs w:val="32"/>
          <w:highlight w:val="none"/>
        </w:rPr>
        <w:t>财政拨款支出决算总体情况。</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2022年度一般公共预算财政拨款支出3947.78万元，占本年支出合计的100%。与2021年度相比，一般公共预算财政拨款支出增加88.15万元，增长2.28%。主要原因是人员工资增长导致人员经费增加。</w:t>
      </w:r>
    </w:p>
    <w:p>
      <w:pPr>
        <w:pageBreakBefore w:val="0"/>
        <w:widowControl w:val="0"/>
        <w:numPr>
          <w:ilvl w:val="0"/>
          <w:numId w:val="0"/>
        </w:numPr>
        <w:shd w:val="clear" w:color="auto" w:fill="auto"/>
        <w:kinsoku/>
        <w:wordWrap/>
        <w:overflowPunct/>
        <w:topLinePunct w:val="0"/>
        <w:bidi w:val="0"/>
        <w:adjustRightInd w:val="0"/>
        <w:snapToGrid w:val="0"/>
        <w:spacing w:line="360" w:lineRule="auto"/>
        <w:ind w:firstLine="640" w:firstLineChars="200"/>
        <w:textAlignment w:val="auto"/>
        <w:rPr>
          <w:rFonts w:hint="eastAsia" w:ascii="楷体_GB2312" w:hAnsi="楷体_GB2312" w:eastAsia="楷体_GB2312" w:cs="楷体_GB2312"/>
          <w:bCs/>
          <w:kern w:val="44"/>
          <w:sz w:val="32"/>
          <w:szCs w:val="32"/>
          <w:highlight w:val="none"/>
        </w:rPr>
      </w:pPr>
      <w:r>
        <w:rPr>
          <w:rFonts w:hint="eastAsia" w:ascii="楷体_GB2312" w:hAnsi="楷体_GB2312" w:eastAsia="楷体_GB2312" w:cs="楷体_GB2312"/>
          <w:bCs/>
          <w:kern w:val="44"/>
          <w:sz w:val="32"/>
          <w:szCs w:val="32"/>
          <w:highlight w:val="none"/>
          <w:lang w:eastAsia="zh-CN"/>
        </w:rPr>
        <w:t>（二）一般公共预算</w:t>
      </w:r>
      <w:r>
        <w:rPr>
          <w:rFonts w:hint="eastAsia" w:ascii="楷体_GB2312" w:hAnsi="楷体_GB2312" w:eastAsia="楷体_GB2312" w:cs="楷体_GB2312"/>
          <w:bCs/>
          <w:kern w:val="44"/>
          <w:sz w:val="32"/>
          <w:szCs w:val="32"/>
          <w:highlight w:val="none"/>
        </w:rPr>
        <w:t>财政拨款支出决算结构情况。</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2022年度一般公共预算财政拨款支出3947.78万元，主要用于以下方面：</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1.财政事务支出3908.65万元，占99%。主要是用于财政事务开展支出。</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2.商贸事务支出5.39万元，占0.14%。主要是用于招商工作开展支出。</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3. 社会保障和就业支出19.81万元，占0.51%。主要是用于抚恤金支出。</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4.纪检监察支出3.94万元，占0.10%。主要是用于市纪委派驻纪检组工作开展支出。</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5.发展与改革事务支出为10万元，占0.25%。主要是用于发展与改革工作相关支出。</w:t>
      </w:r>
    </w:p>
    <w:p>
      <w:pPr>
        <w:pageBreakBefore w:val="0"/>
        <w:widowControl w:val="0"/>
        <w:numPr>
          <w:ilvl w:val="0"/>
          <w:numId w:val="0"/>
        </w:numPr>
        <w:shd w:val="clear" w:color="auto" w:fill="auto"/>
        <w:kinsoku/>
        <w:wordWrap/>
        <w:overflowPunct/>
        <w:topLinePunct w:val="0"/>
        <w:bidi w:val="0"/>
        <w:adjustRightInd w:val="0"/>
        <w:snapToGrid w:val="0"/>
        <w:spacing w:line="360" w:lineRule="auto"/>
        <w:ind w:firstLine="640" w:firstLineChars="200"/>
        <w:textAlignment w:val="auto"/>
        <w:rPr>
          <w:rFonts w:hint="eastAsia" w:ascii="楷体_GB2312" w:hAnsi="楷体_GB2312" w:eastAsia="楷体_GB2312" w:cs="楷体_GB2312"/>
          <w:bCs/>
          <w:kern w:val="44"/>
          <w:sz w:val="32"/>
          <w:szCs w:val="32"/>
          <w:highlight w:val="none"/>
        </w:rPr>
      </w:pPr>
      <w:r>
        <w:rPr>
          <w:rFonts w:hint="eastAsia" w:ascii="楷体_GB2312" w:hAnsi="楷体_GB2312" w:eastAsia="楷体_GB2312" w:cs="楷体_GB2312"/>
          <w:bCs/>
          <w:kern w:val="44"/>
          <w:sz w:val="32"/>
          <w:szCs w:val="32"/>
          <w:highlight w:val="none"/>
        </w:rPr>
        <w:t>（三）</w:t>
      </w:r>
      <w:r>
        <w:rPr>
          <w:rFonts w:hint="eastAsia" w:ascii="楷体_GB2312" w:hAnsi="楷体_GB2312" w:eastAsia="楷体_GB2312" w:cs="楷体_GB2312"/>
          <w:bCs/>
          <w:kern w:val="44"/>
          <w:sz w:val="32"/>
          <w:szCs w:val="32"/>
          <w:highlight w:val="none"/>
          <w:lang w:eastAsia="zh-CN"/>
        </w:rPr>
        <w:t>一般公共预算</w:t>
      </w:r>
      <w:r>
        <w:rPr>
          <w:rFonts w:hint="eastAsia" w:ascii="楷体_GB2312" w:hAnsi="楷体_GB2312" w:eastAsia="楷体_GB2312" w:cs="楷体_GB2312"/>
          <w:bCs/>
          <w:kern w:val="44"/>
          <w:sz w:val="32"/>
          <w:szCs w:val="32"/>
          <w:highlight w:val="none"/>
        </w:rPr>
        <w:t>财政拨款支出决算具体情况。</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2022年度一般公共预算财政拨款支出年初预算为    2240.36万元，支出决算为3947.78万元，完成年初预算的176.21%。其中：</w:t>
      </w:r>
    </w:p>
    <w:p>
      <w:pPr>
        <w:numPr>
          <w:ilvl w:val="0"/>
          <w:numId w:val="5"/>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一般公共服务支出(类)财政事务（款）行政运行（项）。年初预算为2215.36万元，支出决算为3539.96万元，完成年初预算的159.79%，支出决算数大于年初预算数的主</w:t>
      </w:r>
      <w:r>
        <w:rPr>
          <w:rFonts w:hint="eastAsia" w:ascii="仿宋_GB2312" w:hAnsi="仿宋_GB2312" w:eastAsia="仿宋_GB2312" w:cs="仿宋_GB2312"/>
          <w:bCs/>
          <w:color w:val="auto"/>
          <w:kern w:val="44"/>
          <w:sz w:val="32"/>
          <w:szCs w:val="32"/>
          <w:highlight w:val="none"/>
        </w:rPr>
        <w:t>要原</w:t>
      </w:r>
      <w:r>
        <w:rPr>
          <w:rFonts w:hint="eastAsia" w:ascii="仿宋" w:hAnsi="仿宋" w:eastAsia="仿宋" w:cs="仿宋"/>
          <w:color w:val="auto"/>
          <w:sz w:val="32"/>
          <w:szCs w:val="32"/>
          <w:highlight w:val="none"/>
          <w:shd w:val="clear" w:color="auto" w:fill="FFFFFF"/>
          <w:lang w:val="en-US" w:eastAsia="zh-CN"/>
        </w:rPr>
        <w:t>因是由于2022年预算工作安排，在职人员基础绩效工资、在职人员工资调标、退休人员统筹待遇未纳入到年初预算中。</w:t>
      </w:r>
    </w:p>
    <w:p>
      <w:pPr>
        <w:numPr>
          <w:ilvl w:val="0"/>
          <w:numId w:val="0"/>
        </w:numPr>
        <w:shd w:val="clear" w:color="auto" w:fill="auto"/>
        <w:bidi w:val="0"/>
        <w:ind w:firstLine="640" w:firstLineChars="200"/>
        <w:rPr>
          <w:rFonts w:hint="eastAsia" w:ascii="仿宋_GB2312" w:hAnsi="仿宋_GB2312" w:eastAsia="仿宋_GB2312" w:cs="仿宋_GB2312"/>
          <w:bCs/>
          <w:color w:val="auto"/>
          <w:kern w:val="44"/>
          <w:sz w:val="32"/>
          <w:szCs w:val="32"/>
          <w:highlight w:val="none"/>
        </w:rPr>
      </w:pPr>
      <w:r>
        <w:rPr>
          <w:rFonts w:hint="eastAsia" w:ascii="仿宋" w:hAnsi="仿宋" w:eastAsia="仿宋" w:cs="仿宋"/>
          <w:color w:val="auto"/>
          <w:sz w:val="32"/>
          <w:szCs w:val="32"/>
          <w:highlight w:val="none"/>
          <w:shd w:val="clear" w:color="auto" w:fill="FFFFFF"/>
          <w:lang w:val="en-US" w:eastAsia="zh-CN"/>
        </w:rPr>
        <w:t>2.一般公共服务支出(类)财政事务（款）信息化建设（项）。年初预算为0万元，支出决算为11.98万元，完成年初预算的0%，支出决算数大于年初预算数的主要原因：信息化建设补助经费为省厅2021年下达的补助资金，是上年度结转的项目资金，未在年初预算中</w:t>
      </w:r>
      <w:r>
        <w:rPr>
          <w:rFonts w:hint="eastAsia" w:ascii="仿宋_GB2312" w:hAnsi="仿宋_GB2312" w:cs="仿宋_GB2312"/>
          <w:bCs/>
          <w:color w:val="auto"/>
          <w:kern w:val="44"/>
          <w:sz w:val="32"/>
          <w:szCs w:val="32"/>
          <w:highlight w:val="none"/>
          <w:lang w:eastAsia="zh-CN"/>
        </w:rPr>
        <w:t>体现</w:t>
      </w:r>
      <w:r>
        <w:rPr>
          <w:rFonts w:hint="eastAsia" w:ascii="仿宋_GB2312" w:hAnsi="仿宋_GB2312" w:eastAsia="仿宋_GB2312" w:cs="仿宋_GB2312"/>
          <w:bCs/>
          <w:color w:val="auto"/>
          <w:kern w:val="44"/>
          <w:sz w:val="32"/>
          <w:szCs w:val="32"/>
          <w:highlight w:val="none"/>
        </w:rPr>
        <w:t>。</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3.一般公共服务支出(类)财政事务（款）财政委托业务支出（项）。年初预算为0万元，支出决算为7.56万元，完成年初预算的0%，支出决算数大于年初预算数的主要原因为投资评审经费是调整预算数后下达的，未在年初预算中体现。</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4.一般公共服务支出(类)财政事务（款）其他财政事务支出（项）。年初预算为25万元，支出决算为349.14万元，完成年初预算的1396.56%，支出决算数大于</w:t>
      </w:r>
      <w:r>
        <w:rPr>
          <w:rFonts w:hint="eastAsia" w:ascii="仿宋_GB2312" w:hAnsi="仿宋_GB2312" w:eastAsia="仿宋_GB2312" w:cs="仿宋_GB2312"/>
          <w:bCs/>
          <w:color w:val="auto"/>
          <w:kern w:val="44"/>
          <w:sz w:val="32"/>
          <w:szCs w:val="32"/>
          <w:highlight w:val="none"/>
        </w:rPr>
        <w:t>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预算数的主</w:t>
      </w:r>
      <w:r>
        <w:rPr>
          <w:rFonts w:hint="eastAsia" w:ascii="仿宋" w:hAnsi="仿宋" w:eastAsia="仿宋" w:cs="仿宋"/>
          <w:color w:val="auto"/>
          <w:sz w:val="32"/>
          <w:szCs w:val="32"/>
          <w:highlight w:val="none"/>
          <w:shd w:val="clear" w:color="auto" w:fill="FFFFFF"/>
          <w:lang w:val="en-US" w:eastAsia="zh-CN"/>
        </w:rPr>
        <w:t>要原因：一是财政收入征收经费是调整预算数后下达的，未在年初预算中体现；二是预算绩效管理奖励资金和黄石财政运行与安全绩效管理专题培训班经费是调整预算数后下达的，未在年初预算中体现。</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5.一般公共服务支出(类)发展与改革事务（款）其他发展与改革事务支出（项）。年初预算为0万元，支出决算为10万元，完成年初预算的0%，支出决算数大于年初预算数的主要原因是冲刺“全年精彩”奖励资金是调整预算数后下达的，未在年初预算中体现。</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6.一般公共服务支出(类)纪检监察事务（款）行政运行支出（项）。年初预算为0万元，支出决算为3.94万元，完成年初预算的0%，支出决算数大于年初预算数的主要原因市纪委派驻纪检组公用经费项目是调整预算数后下达的，未在年初预算中体现。</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7.一般公共服务支出(类)商贸事务（款）招商引资（项）。年初预算为0万元，支出决算为5.39万元，完成年初预算的0%，支出决算数大于年初预算数的主要原因招商引资资金是调整预算数后下达的，未在年初预算中体现。</w:t>
      </w:r>
    </w:p>
    <w:p>
      <w:pPr>
        <w:numPr>
          <w:ilvl w:val="0"/>
          <w:numId w:val="0"/>
        </w:numPr>
        <w:shd w:val="clear" w:color="auto" w:fill="auto"/>
        <w:bidi w:val="0"/>
        <w:ind w:firstLine="640" w:firstLineChars="200"/>
        <w:rPr>
          <w:rFonts w:hint="eastAsia" w:ascii="仿宋_GB2312" w:hAnsi="仿宋_GB2312" w:eastAsia="仿宋_GB2312" w:cs="仿宋_GB2312"/>
          <w:sz w:val="32"/>
          <w:szCs w:val="32"/>
          <w:highlight w:val="none"/>
          <w:lang w:val="en-US" w:eastAsia="zh-CN"/>
        </w:rPr>
      </w:pPr>
      <w:r>
        <w:rPr>
          <w:rFonts w:hint="eastAsia" w:ascii="仿宋" w:hAnsi="仿宋" w:eastAsia="仿宋" w:cs="仿宋"/>
          <w:color w:val="auto"/>
          <w:sz w:val="32"/>
          <w:szCs w:val="32"/>
          <w:highlight w:val="none"/>
          <w:shd w:val="clear" w:color="auto" w:fill="FFFFFF"/>
          <w:lang w:val="en-US" w:eastAsia="zh-CN"/>
        </w:rPr>
        <w:t>8.社会保障和就业支出(类)抚恤（款）死亡抚恤（项）。年初预算为0万元，支出决算为19.81万元，完成年初预算的0%，支出决算数大于年初预算数的主要原因抚恤金是调整预算数后下达的，未在年初预算中体现。</w:t>
      </w:r>
    </w:p>
    <w:p>
      <w:pPr>
        <w:shd w:val="clear" w:color="auto" w:fill="auto"/>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六、一般公共预算财政拨款基本支出决算情况说明</w:t>
      </w:r>
    </w:p>
    <w:p>
      <w:pPr>
        <w:shd w:val="clear" w:color="auto" w:fill="auto"/>
        <w:bidi w:val="0"/>
        <w:ind w:firstLine="64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w:t>
      </w:r>
      <w:r>
        <w:rPr>
          <w:rFonts w:hint="eastAsia" w:ascii="仿宋_GB2312" w:hAnsi="仿宋_GB2312" w:cs="仿宋_GB2312"/>
          <w:lang w:val="en-US" w:eastAsia="zh-CN"/>
        </w:rPr>
        <w:t>2</w:t>
      </w:r>
      <w:r>
        <w:rPr>
          <w:rFonts w:hint="eastAsia" w:ascii="仿宋_GB2312" w:hAnsi="仿宋_GB2312" w:eastAsia="仿宋_GB2312" w:cs="仿宋_GB2312"/>
          <w:lang w:val="en-US" w:eastAsia="zh-CN"/>
        </w:rPr>
        <w:t>年度一般公共预算财政拨款基本支出</w:t>
      </w:r>
      <w:r>
        <w:rPr>
          <w:rFonts w:hint="eastAsia" w:ascii="仿宋" w:hAnsi="仿宋" w:eastAsia="仿宋" w:cs="仿宋"/>
          <w:color w:val="auto"/>
          <w:sz w:val="32"/>
          <w:szCs w:val="32"/>
          <w:highlight w:val="none"/>
          <w:shd w:val="clear" w:color="auto" w:fill="FFFFFF"/>
          <w:lang w:val="en-US" w:eastAsia="zh-CN"/>
        </w:rPr>
        <w:t>3423.86</w:t>
      </w:r>
      <w:r>
        <w:rPr>
          <w:rFonts w:hint="eastAsia" w:ascii="仿宋_GB2312" w:hAnsi="仿宋_GB2312" w:eastAsia="仿宋_GB2312" w:cs="仿宋_GB2312"/>
          <w:lang w:val="en-US" w:eastAsia="zh-CN"/>
        </w:rPr>
        <w:t>万元，其中：</w:t>
      </w:r>
    </w:p>
    <w:p>
      <w:pPr>
        <w:shd w:val="clear" w:color="auto" w:fill="auto"/>
        <w:bidi w:val="0"/>
        <w:ind w:firstLine="64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人员经费</w:t>
      </w:r>
      <w:r>
        <w:rPr>
          <w:rFonts w:hint="eastAsia" w:ascii="仿宋" w:hAnsi="仿宋" w:eastAsia="仿宋" w:cs="仿宋"/>
          <w:color w:val="auto"/>
          <w:sz w:val="32"/>
          <w:szCs w:val="32"/>
          <w:highlight w:val="none"/>
          <w:shd w:val="clear" w:color="auto" w:fill="FFFFFF"/>
          <w:lang w:val="en-US" w:eastAsia="zh-CN"/>
        </w:rPr>
        <w:t>3036.35</w:t>
      </w:r>
      <w:r>
        <w:rPr>
          <w:rFonts w:hint="eastAsia" w:ascii="仿宋_GB2312" w:hAnsi="仿宋_GB2312" w:eastAsia="仿宋_GB2312" w:cs="仿宋_GB2312"/>
          <w:lang w:val="en-US" w:eastAsia="zh-CN"/>
        </w:rPr>
        <w:t>万元，主要包括：基本工资、津贴补贴、奖金、伙食补助费、绩效工资、机关事业单位基本养老保险缴费、职业年金缴费、职工基本医疗保险缴费、公务员医疗补助缴费、住房公积金、退休费、抚恤金</w:t>
      </w:r>
      <w:r>
        <w:rPr>
          <w:rFonts w:hint="eastAsia" w:ascii="仿宋_GB2312" w:hAnsi="仿宋_GB2312" w:cs="仿宋_GB2312"/>
          <w:lang w:val="en-US" w:eastAsia="zh-CN"/>
        </w:rPr>
        <w:t>。</w:t>
      </w:r>
    </w:p>
    <w:p>
      <w:pPr>
        <w:shd w:val="clear" w:color="auto" w:fill="auto"/>
        <w:bidi w:val="0"/>
        <w:ind w:firstLine="64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公用经费</w:t>
      </w:r>
      <w:r>
        <w:rPr>
          <w:rFonts w:hint="eastAsia" w:ascii="仿宋" w:hAnsi="仿宋" w:eastAsia="仿宋" w:cs="仿宋"/>
          <w:color w:val="auto"/>
          <w:sz w:val="32"/>
          <w:szCs w:val="32"/>
          <w:highlight w:val="none"/>
          <w:shd w:val="clear" w:color="auto" w:fill="FFFFFF"/>
          <w:lang w:val="en-US" w:eastAsia="zh-CN"/>
        </w:rPr>
        <w:t>387.51</w:t>
      </w:r>
      <w:r>
        <w:rPr>
          <w:rFonts w:hint="eastAsia" w:ascii="仿宋_GB2312" w:hAnsi="仿宋_GB2312" w:eastAsia="仿宋_GB2312" w:cs="仿宋_GB2312"/>
          <w:lang w:val="en-US" w:eastAsia="zh-CN"/>
        </w:rPr>
        <w:t>万元，主要包括：办公费、印刷费、水费、电费、邮电费、物业管理费、差旅费、维修(护)费、会议费、培训费、公务接待费、劳务费、委托业务费、工会经费、福利费、公务用车运行维护费、其他交通费用、其他商品和服务支出、办公设备购置。</w:t>
      </w:r>
    </w:p>
    <w:p>
      <w:pPr>
        <w:numPr>
          <w:ilvl w:val="0"/>
          <w:numId w:val="0"/>
        </w:numPr>
        <w:shd w:val="clear" w:color="auto" w:fill="auto"/>
        <w:bidi w:val="0"/>
        <w:ind w:firstLine="640" w:firstLineChars="200"/>
        <w:rPr>
          <w:rFonts w:hint="eastAsia" w:ascii="黑体" w:hAnsi="黑体" w:eastAsia="黑体" w:cs="黑体"/>
          <w:sz w:val="32"/>
          <w:szCs w:val="32"/>
          <w:lang w:val="en-US" w:eastAsia="zh-CN"/>
        </w:rPr>
      </w:pPr>
      <w:r>
        <w:rPr>
          <w:rFonts w:hint="eastAsia" w:ascii="黑体" w:hAnsi="黑体" w:eastAsia="黑体" w:cs="黑体"/>
          <w:lang w:val="en-US" w:eastAsia="zh-CN"/>
        </w:rPr>
        <w:t xml:space="preserve">七、政府性基金预算财政拨款收入支出决算情况说明 </w:t>
      </w:r>
    </w:p>
    <w:p>
      <w:pPr>
        <w:numPr>
          <w:ilvl w:val="0"/>
          <w:numId w:val="0"/>
        </w:numPr>
        <w:shd w:val="clear" w:color="auto" w:fill="auto"/>
        <w:bidi w:val="0"/>
        <w:ind w:leftChars="200"/>
        <w:rPr>
          <w:rFonts w:hint="eastAsia" w:ascii="仿宋" w:hAnsi="仿宋" w:eastAsia="仿宋" w:cs="仿宋"/>
          <w:color w:val="auto"/>
          <w:sz w:val="32"/>
          <w:szCs w:val="32"/>
          <w:highlight w:val="none"/>
          <w:shd w:val="clear" w:color="auto" w:fill="FFFFFF"/>
        </w:rPr>
      </w:pPr>
      <w:r>
        <w:rPr>
          <w:rFonts w:hint="eastAsia" w:ascii="仿宋" w:hAnsi="仿宋" w:eastAsia="仿宋" w:cs="仿宋"/>
          <w:color w:val="auto"/>
          <w:sz w:val="32"/>
          <w:szCs w:val="32"/>
          <w:highlight w:val="none"/>
          <w:shd w:val="clear" w:color="auto" w:fill="FFFFFF"/>
          <w:lang w:eastAsia="zh-CN"/>
        </w:rPr>
        <w:t>本单位当年</w:t>
      </w:r>
      <w:r>
        <w:rPr>
          <w:rFonts w:hint="eastAsia" w:ascii="仿宋" w:hAnsi="仿宋" w:eastAsia="仿宋" w:cs="仿宋"/>
          <w:color w:val="auto"/>
          <w:sz w:val="32"/>
          <w:szCs w:val="32"/>
          <w:highlight w:val="none"/>
          <w:shd w:val="clear" w:color="auto" w:fill="FFFFFF"/>
        </w:rPr>
        <w:t>无政府性基金预算财政拨款收入支出。</w:t>
      </w:r>
    </w:p>
    <w:p>
      <w:pPr>
        <w:numPr>
          <w:ilvl w:val="0"/>
          <w:numId w:val="0"/>
        </w:numPr>
        <w:shd w:val="clear" w:color="auto" w:fill="auto"/>
        <w:bidi w:val="0"/>
        <w:ind w:leftChars="200"/>
        <w:rPr>
          <w:rFonts w:hint="eastAsia" w:ascii="黑体" w:hAnsi="黑体" w:eastAsia="黑体" w:cs="黑体"/>
          <w:lang w:val="en-US" w:eastAsia="zh-CN"/>
        </w:rPr>
      </w:pPr>
      <w:r>
        <w:rPr>
          <w:rFonts w:hint="eastAsia" w:ascii="黑体" w:hAnsi="黑体" w:eastAsia="黑体" w:cs="黑体"/>
          <w:lang w:val="en-US" w:eastAsia="zh-CN"/>
        </w:rPr>
        <w:t>八、国有资本经营预算财政拨款支出决算情况说明</w:t>
      </w:r>
    </w:p>
    <w:p>
      <w:pPr>
        <w:ind w:firstLine="640"/>
        <w:jc w:val="both"/>
        <w:rPr>
          <w:rFonts w:hint="eastAsia" w:ascii="仿宋_GB2312" w:hAnsi="仿宋_GB2312" w:cs="仿宋_GB2312"/>
          <w:b w:val="0"/>
          <w:bCs w:val="0"/>
          <w:color w:val="auto"/>
          <w:sz w:val="32"/>
          <w:szCs w:val="32"/>
          <w:highlight w:val="none"/>
          <w:lang w:val="en-US" w:eastAsia="zh-CN"/>
        </w:rPr>
      </w:pPr>
      <w:r>
        <w:rPr>
          <w:rFonts w:hint="eastAsia" w:ascii="仿宋_GB2312" w:hAnsi="仿宋_GB2312" w:cs="仿宋_GB2312"/>
          <w:b w:val="0"/>
          <w:bCs w:val="0"/>
          <w:color w:val="auto"/>
          <w:sz w:val="32"/>
          <w:szCs w:val="32"/>
          <w:highlight w:val="none"/>
          <w:lang w:val="en-US" w:eastAsia="zh-CN"/>
        </w:rPr>
        <w:t>本单位当年无国有资本经营预算财政拨款支出。</w:t>
      </w:r>
    </w:p>
    <w:p>
      <w:pPr>
        <w:numPr>
          <w:ilvl w:val="0"/>
          <w:numId w:val="0"/>
        </w:numPr>
        <w:shd w:val="clear" w:color="auto" w:fill="auto"/>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 xml:space="preserve">九、一般公共预算财政拨款“三公”经费支出决算情况说明 </w:t>
      </w:r>
    </w:p>
    <w:p>
      <w:pPr>
        <w:numPr>
          <w:ilvl w:val="0"/>
          <w:numId w:val="0"/>
        </w:numPr>
        <w:shd w:val="clear" w:color="auto" w:fill="auto"/>
        <w:bidi w:val="0"/>
        <w:ind w:left="640" w:leftChars="200" w:firstLine="0" w:firstLineChars="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（一）“三公”经费财政拨款支出决算总体情况说明。</w:t>
      </w:r>
    </w:p>
    <w:p>
      <w:pPr>
        <w:numPr>
          <w:ilvl w:val="0"/>
          <w:numId w:val="0"/>
        </w:numPr>
        <w:shd w:val="clear" w:color="auto" w:fill="auto"/>
        <w:bidi w:val="0"/>
        <w:ind w:firstLine="640" w:firstLineChars="200"/>
        <w:rPr>
          <w:rFonts w:hint="eastAsia" w:ascii="仿宋_GB2312" w:hAnsi="仿宋_GB2312" w:eastAsia="仿宋_GB2312" w:cs="仿宋_GB2312"/>
          <w:highlight w:val="none"/>
          <w:lang w:val="en-US" w:eastAsia="zh-CN"/>
        </w:rPr>
      </w:pPr>
      <w:r>
        <w:rPr>
          <w:rFonts w:hint="eastAsia" w:ascii="仿宋_GB2312" w:hAnsi="仿宋_GB2312" w:eastAsia="仿宋_GB2312" w:cs="仿宋_GB2312"/>
          <w:lang w:val="en-US" w:eastAsia="zh-CN"/>
        </w:rPr>
        <w:t>202</w:t>
      </w:r>
      <w:r>
        <w:rPr>
          <w:rFonts w:hint="eastAsia" w:ascii="仿宋_GB2312" w:hAnsi="仿宋_GB2312" w:cs="仿宋_GB2312"/>
          <w:lang w:val="en-US" w:eastAsia="zh-CN"/>
        </w:rPr>
        <w:t>2</w:t>
      </w:r>
      <w:r>
        <w:rPr>
          <w:rFonts w:hint="eastAsia" w:ascii="仿宋_GB2312" w:hAnsi="仿宋_GB2312" w:eastAsia="仿宋_GB2312" w:cs="仿宋_GB2312"/>
          <w:lang w:val="en-US" w:eastAsia="zh-CN"/>
        </w:rPr>
        <w:t>年度“三公”经费财政拨款支出预算为</w:t>
      </w:r>
      <w:r>
        <w:rPr>
          <w:rFonts w:hint="eastAsia" w:ascii="仿宋" w:hAnsi="仿宋" w:eastAsia="仿宋" w:cs="仿宋"/>
          <w:color w:val="auto"/>
          <w:sz w:val="32"/>
          <w:szCs w:val="32"/>
          <w:highlight w:val="none"/>
          <w:shd w:val="clear" w:color="auto" w:fill="FFFFFF"/>
          <w:lang w:val="en-US" w:eastAsia="zh-CN"/>
        </w:rPr>
        <w:t>22.8</w:t>
      </w:r>
      <w:r>
        <w:rPr>
          <w:rFonts w:hint="eastAsia" w:ascii="仿宋_GB2312" w:hAnsi="仿宋_GB2312" w:eastAsia="仿宋_GB2312" w:cs="仿宋_GB2312"/>
          <w:lang w:val="en-US" w:eastAsia="zh-CN"/>
        </w:rPr>
        <w:t>万元，支出决算为</w:t>
      </w:r>
      <w:r>
        <w:rPr>
          <w:rFonts w:hint="eastAsia" w:ascii="仿宋" w:hAnsi="仿宋" w:eastAsia="仿宋" w:cs="仿宋"/>
          <w:color w:val="auto"/>
          <w:sz w:val="32"/>
          <w:szCs w:val="32"/>
          <w:highlight w:val="none"/>
          <w:shd w:val="clear" w:color="auto" w:fill="FFFFFF"/>
          <w:lang w:val="en-US" w:eastAsia="zh-CN"/>
        </w:rPr>
        <w:t>4.84</w:t>
      </w:r>
      <w:r>
        <w:rPr>
          <w:rFonts w:hint="eastAsia" w:ascii="仿宋_GB2312" w:hAnsi="仿宋_GB2312" w:eastAsia="仿宋_GB2312" w:cs="仿宋_GB2312"/>
          <w:lang w:val="en-US" w:eastAsia="zh-CN"/>
        </w:rPr>
        <w:t>万元，完成预算的</w:t>
      </w:r>
      <w:r>
        <w:rPr>
          <w:rFonts w:hint="eastAsia" w:ascii="仿宋" w:hAnsi="仿宋" w:eastAsia="仿宋" w:cs="仿宋"/>
          <w:color w:val="auto"/>
          <w:sz w:val="32"/>
          <w:szCs w:val="32"/>
          <w:highlight w:val="none"/>
          <w:shd w:val="clear" w:color="auto" w:fill="FFFFFF"/>
          <w:lang w:val="en-US" w:eastAsia="zh-CN"/>
        </w:rPr>
        <w:t>21.23</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较上年减少</w:t>
      </w:r>
      <w:r>
        <w:rPr>
          <w:rFonts w:hint="eastAsia" w:ascii="仿宋_GB2312" w:hAnsi="仿宋_GB2312" w:cs="仿宋_GB2312"/>
          <w:u w:val="single"/>
          <w:lang w:val="en-US" w:eastAsia="zh-CN"/>
        </w:rPr>
        <w:t xml:space="preserve">    </w:t>
      </w:r>
      <w:r>
        <w:rPr>
          <w:rFonts w:hint="eastAsia" w:ascii="仿宋" w:hAnsi="仿宋" w:eastAsia="仿宋" w:cs="仿宋"/>
          <w:color w:val="auto"/>
          <w:sz w:val="32"/>
          <w:szCs w:val="32"/>
          <w:highlight w:val="none"/>
          <w:shd w:val="clear" w:color="auto" w:fill="FFFFFF"/>
          <w:lang w:val="en-US" w:eastAsia="zh-CN"/>
        </w:rPr>
        <w:t>0.9</w:t>
      </w:r>
      <w:r>
        <w:rPr>
          <w:rFonts w:hint="eastAsia" w:ascii="仿宋_GB2312" w:hAnsi="仿宋_GB2312" w:cs="仿宋_GB2312"/>
          <w:u w:val="none"/>
          <w:lang w:val="en-US" w:eastAsia="zh-CN"/>
        </w:rPr>
        <w:t>万元，下降</w:t>
      </w:r>
      <w:r>
        <w:rPr>
          <w:rFonts w:hint="eastAsia" w:ascii="仿宋" w:hAnsi="仿宋" w:eastAsia="仿宋" w:cs="仿宋"/>
          <w:color w:val="auto"/>
          <w:sz w:val="32"/>
          <w:szCs w:val="32"/>
          <w:highlight w:val="none"/>
          <w:shd w:val="clear" w:color="auto" w:fill="FFFFFF"/>
          <w:lang w:val="en-US" w:eastAsia="zh-CN"/>
        </w:rPr>
        <w:t>15.51</w:t>
      </w:r>
      <w:r>
        <w:rPr>
          <w:rFonts w:hint="eastAsia" w:ascii="仿宋_GB2312" w:hAnsi="仿宋_GB2312" w:cs="仿宋_GB2312"/>
          <w:u w:val="none"/>
          <w:lang w:val="en-US" w:eastAsia="zh-CN"/>
        </w:rPr>
        <w:t>%</w:t>
      </w:r>
      <w:r>
        <w:rPr>
          <w:rFonts w:hint="eastAsia" w:ascii="仿宋_GB2312" w:hAnsi="仿宋_GB2312" w:cs="仿宋_GB2312"/>
          <w:highlight w:val="none"/>
          <w:u w:val="none"/>
          <w:lang w:val="en-US" w:eastAsia="zh-CN"/>
        </w:rPr>
        <w:t>。</w:t>
      </w:r>
      <w:r>
        <w:rPr>
          <w:rFonts w:hint="eastAsia" w:ascii="仿宋_GB2312" w:hAnsi="仿宋_GB2312" w:eastAsia="仿宋_GB2312" w:cs="仿宋_GB2312"/>
          <w:highlight w:val="none"/>
          <w:lang w:val="en-US" w:eastAsia="zh-CN"/>
        </w:rPr>
        <w:t>决算数小于预算数的主要原因</w:t>
      </w:r>
      <w:r>
        <w:rPr>
          <w:rFonts w:hint="eastAsia" w:ascii="仿宋_GB2312" w:hAnsi="仿宋_GB2312" w:cs="仿宋_GB2312"/>
          <w:highlight w:val="none"/>
          <w:lang w:val="en-US" w:eastAsia="zh-CN"/>
        </w:rPr>
        <w:t>本年度</w:t>
      </w:r>
      <w:r>
        <w:rPr>
          <w:rFonts w:hint="eastAsia"/>
          <w:highlight w:val="none"/>
          <w:lang w:val="en-US" w:eastAsia="zh-CN"/>
        </w:rPr>
        <w:t>无因公出国（境）支出</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决算数较上年减少的主要原因是公务用车上年有较大维修，本年度无该项支出。</w:t>
      </w:r>
    </w:p>
    <w:p>
      <w:pPr>
        <w:numPr>
          <w:ilvl w:val="0"/>
          <w:numId w:val="0"/>
        </w:numPr>
        <w:shd w:val="clear" w:color="auto" w:fill="auto"/>
        <w:bidi w:val="0"/>
        <w:ind w:left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（二）“三公”经费财政拨款支出决算具体情况说明。</w:t>
      </w:r>
    </w:p>
    <w:p>
      <w:pPr>
        <w:shd w:val="clear" w:color="auto" w:fill="auto"/>
        <w:ind w:firstLine="640" w:firstLineChars="200"/>
        <w:rPr>
          <w:rFonts w:hint="eastAsia"/>
          <w:highlight w:val="none"/>
          <w:lang w:val="en-US" w:eastAsia="zh-CN"/>
        </w:rPr>
      </w:pPr>
      <w:r>
        <w:rPr>
          <w:rFonts w:hint="eastAsia" w:ascii="仿宋_GB2312" w:eastAsia="仿宋_GB2312"/>
          <w:color w:val="000000"/>
          <w:szCs w:val="32"/>
          <w:highlight w:val="none"/>
        </w:rPr>
        <w:t>1.因公出国(境)费</w:t>
      </w:r>
      <w:r>
        <w:rPr>
          <w:rFonts w:hint="eastAsia" w:ascii="仿宋_GB2312" w:eastAsia="仿宋_GB2312"/>
          <w:color w:val="000000"/>
          <w:szCs w:val="32"/>
          <w:highlight w:val="none"/>
          <w:lang w:val="en-US" w:eastAsia="zh-CN"/>
        </w:rPr>
        <w:t>预算为</w:t>
      </w:r>
      <w:r>
        <w:rPr>
          <w:rFonts w:hint="eastAsia" w:ascii="仿宋" w:hAnsi="仿宋" w:eastAsia="仿宋" w:cs="仿宋"/>
          <w:color w:val="auto"/>
          <w:sz w:val="32"/>
          <w:szCs w:val="32"/>
          <w:highlight w:val="none"/>
          <w:shd w:val="clear" w:color="auto" w:fill="FFFFFF"/>
          <w:lang w:val="en-US" w:eastAsia="zh-CN"/>
        </w:rPr>
        <w:t>8.5</w:t>
      </w:r>
      <w:r>
        <w:rPr>
          <w:rFonts w:hint="eastAsia" w:ascii="仿宋_GB2312" w:eastAsia="仿宋_GB2312"/>
          <w:color w:val="000000"/>
          <w:szCs w:val="32"/>
          <w:highlight w:val="none"/>
          <w:u w:val="none"/>
          <w:lang w:val="en-US" w:eastAsia="zh-CN"/>
        </w:rPr>
        <w:t>万元，</w:t>
      </w:r>
      <w:r>
        <w:rPr>
          <w:rFonts w:hint="eastAsia" w:ascii="仿宋_GB2312" w:eastAsia="仿宋_GB2312"/>
          <w:color w:val="000000"/>
          <w:szCs w:val="32"/>
          <w:highlight w:val="none"/>
        </w:rPr>
        <w:t>支出决算为</w:t>
      </w:r>
      <w:r>
        <w:rPr>
          <w:rFonts w:hint="eastAsia" w:ascii="仿宋_GB2312"/>
          <w:color w:val="000000"/>
          <w:szCs w:val="32"/>
          <w:highlight w:val="none"/>
          <w:lang w:val="en-US" w:eastAsia="zh-CN"/>
        </w:rPr>
        <w:t>0</w:t>
      </w:r>
      <w:r>
        <w:rPr>
          <w:rFonts w:hint="eastAsia" w:ascii="仿宋_GB2312" w:eastAsia="仿宋_GB2312"/>
          <w:color w:val="000000"/>
          <w:szCs w:val="32"/>
          <w:highlight w:val="none"/>
        </w:rPr>
        <w:t>万元，</w:t>
      </w:r>
      <w:r>
        <w:rPr>
          <w:rFonts w:hint="eastAsia" w:ascii="仿宋_GB2312" w:eastAsia="仿宋_GB2312"/>
          <w:color w:val="000000"/>
          <w:szCs w:val="32"/>
          <w:highlight w:val="none"/>
          <w:lang w:eastAsia="zh-CN"/>
        </w:rPr>
        <w:t>完成</w:t>
      </w:r>
      <w:r>
        <w:rPr>
          <w:rFonts w:hint="eastAsia" w:ascii="仿宋_GB2312" w:eastAsia="仿宋_GB2312"/>
          <w:color w:val="000000"/>
          <w:szCs w:val="32"/>
          <w:highlight w:val="none"/>
        </w:rPr>
        <w:t>预算的</w:t>
      </w:r>
      <w:r>
        <w:rPr>
          <w:rFonts w:hint="eastAsia" w:ascii="仿宋_GB2312"/>
          <w:color w:val="000000"/>
          <w:szCs w:val="32"/>
          <w:highlight w:val="none"/>
          <w:lang w:val="en-US" w:eastAsia="zh-CN"/>
        </w:rPr>
        <w:t>0</w:t>
      </w:r>
      <w:r>
        <w:rPr>
          <w:rFonts w:hint="eastAsia" w:ascii="仿宋_GB2312" w:eastAsia="仿宋_GB2312"/>
          <w:color w:val="000000"/>
          <w:szCs w:val="32"/>
          <w:highlight w:val="none"/>
        </w:rPr>
        <w:t>%</w:t>
      </w:r>
      <w:r>
        <w:rPr>
          <w:rFonts w:hint="eastAsia" w:ascii="仿宋_GB2312"/>
          <w:color w:val="000000"/>
          <w:szCs w:val="32"/>
          <w:highlight w:val="none"/>
          <w:lang w:eastAsia="zh-CN"/>
        </w:rPr>
        <w:t>，</w:t>
      </w:r>
      <w:r>
        <w:rPr>
          <w:rFonts w:hint="eastAsia" w:ascii="仿宋_GB2312" w:hAnsi="仿宋_GB2312" w:cs="仿宋_GB2312"/>
          <w:lang w:val="en-US" w:eastAsia="zh-CN"/>
        </w:rPr>
        <w:t>与上年持平。</w:t>
      </w:r>
      <w:r>
        <w:rPr>
          <w:rFonts w:hint="eastAsia"/>
          <w:highlight w:val="none"/>
          <w:lang w:val="en-US" w:eastAsia="zh-CN"/>
        </w:rPr>
        <w:t>决算数小于预算数的主要原因是根据工作安排，本年度无因公出国（境）支出。</w:t>
      </w:r>
    </w:p>
    <w:p>
      <w:pPr>
        <w:numPr>
          <w:ilvl w:val="0"/>
          <w:numId w:val="0"/>
        </w:numPr>
        <w:shd w:val="clear" w:color="auto" w:fill="auto"/>
        <w:bidi w:val="0"/>
        <w:ind w:firstLine="640" w:firstLineChars="200"/>
        <w:rPr>
          <w:rFonts w:hint="eastAsia" w:ascii="仿宋_GB2312" w:eastAsia="仿宋_GB2312"/>
          <w:color w:val="000000"/>
          <w:szCs w:val="32"/>
          <w:highlight w:val="none"/>
          <w:u w:val="none"/>
          <w:lang w:val="en-US" w:eastAsia="zh-CN"/>
        </w:rPr>
      </w:pPr>
      <w:r>
        <w:rPr>
          <w:rFonts w:hint="eastAsia"/>
          <w:lang w:val="en-US" w:eastAsia="zh-CN"/>
        </w:rPr>
        <w:t>全年支出涉及出国（境）团组0个，累计0</w:t>
      </w:r>
      <w:r>
        <w:rPr>
          <w:rFonts w:hint="eastAsia" w:ascii="仿宋_GB2312" w:eastAsia="仿宋_GB2312"/>
          <w:color w:val="000000"/>
          <w:szCs w:val="32"/>
          <w:highlight w:val="none"/>
          <w:u w:val="none"/>
          <w:lang w:val="en-US" w:eastAsia="zh-CN"/>
        </w:rPr>
        <w:t>人次</w:t>
      </w:r>
      <w:r>
        <w:rPr>
          <w:rFonts w:hint="eastAsia" w:ascii="仿宋_GB2312"/>
          <w:color w:val="000000"/>
          <w:szCs w:val="32"/>
          <w:highlight w:val="none"/>
          <w:u w:val="none"/>
          <w:lang w:val="en-US" w:eastAsia="zh-CN"/>
        </w:rPr>
        <w:t>。</w:t>
      </w:r>
    </w:p>
    <w:p>
      <w:pPr>
        <w:numPr>
          <w:ilvl w:val="0"/>
          <w:numId w:val="0"/>
        </w:numPr>
        <w:shd w:val="clear" w:color="auto" w:fill="auto"/>
        <w:bidi w:val="0"/>
        <w:ind w:firstLine="640" w:firstLineChars="200"/>
        <w:rPr>
          <w:rFonts w:hint="eastAsia" w:ascii="仿宋_GB2312" w:eastAsia="仿宋_GB2312"/>
          <w:color w:val="000000"/>
          <w:sz w:val="32"/>
          <w:szCs w:val="32"/>
          <w:highlight w:val="yellow"/>
        </w:rPr>
      </w:pPr>
      <w:r>
        <w:rPr>
          <w:rFonts w:hint="eastAsia" w:ascii="仿宋_GB2312" w:eastAsia="仿宋_GB2312"/>
          <w:color w:val="000000"/>
          <w:sz w:val="32"/>
          <w:szCs w:val="32"/>
          <w:highlight w:val="none"/>
        </w:rPr>
        <w:t>2.公务用车购置及运行费</w:t>
      </w:r>
      <w:r>
        <w:rPr>
          <w:rFonts w:hint="eastAsia" w:ascii="仿宋_GB2312"/>
          <w:color w:val="000000"/>
          <w:sz w:val="32"/>
          <w:szCs w:val="32"/>
          <w:highlight w:val="none"/>
          <w:lang w:eastAsia="zh-CN"/>
        </w:rPr>
        <w:t>预算为</w:t>
      </w:r>
      <w:r>
        <w:rPr>
          <w:rFonts w:hint="eastAsia" w:ascii="仿宋" w:hAnsi="仿宋" w:eastAsia="仿宋" w:cs="仿宋"/>
          <w:color w:val="auto"/>
          <w:sz w:val="32"/>
          <w:szCs w:val="32"/>
          <w:highlight w:val="none"/>
          <w:shd w:val="clear" w:color="auto" w:fill="FFFFFF"/>
        </w:rPr>
        <w:t>4</w:t>
      </w:r>
      <w:r>
        <w:rPr>
          <w:rFonts w:hint="eastAsia" w:ascii="仿宋_GB2312"/>
          <w:color w:val="000000"/>
          <w:sz w:val="32"/>
          <w:szCs w:val="32"/>
          <w:highlight w:val="none"/>
          <w:u w:val="none"/>
          <w:lang w:val="en-US" w:eastAsia="zh-CN"/>
        </w:rPr>
        <w:t>万元，</w:t>
      </w:r>
      <w:r>
        <w:rPr>
          <w:rFonts w:hint="eastAsia" w:ascii="仿宋_GB2312" w:eastAsia="仿宋_GB2312"/>
          <w:color w:val="000000"/>
          <w:sz w:val="32"/>
          <w:szCs w:val="32"/>
          <w:highlight w:val="none"/>
        </w:rPr>
        <w:t>支出决算为</w:t>
      </w:r>
      <w:r>
        <w:rPr>
          <w:rFonts w:hint="eastAsia" w:ascii="仿宋_GB2312" w:eastAsia="仿宋_GB2312"/>
          <w:color w:val="000000"/>
          <w:sz w:val="32"/>
          <w:szCs w:val="32"/>
          <w:highlight w:val="none"/>
          <w:u w:val="single"/>
        </w:rPr>
        <w:t xml:space="preserve">    </w:t>
      </w:r>
      <w:r>
        <w:rPr>
          <w:rFonts w:hint="eastAsia" w:ascii="仿宋" w:hAnsi="仿宋" w:eastAsia="仿宋" w:cs="仿宋"/>
          <w:color w:val="auto"/>
          <w:sz w:val="32"/>
          <w:szCs w:val="32"/>
          <w:highlight w:val="none"/>
          <w:shd w:val="clear" w:color="auto" w:fill="FFFFFF"/>
          <w:lang w:val="en-US" w:eastAsia="zh-CN"/>
        </w:rPr>
        <w:t>2.19</w:t>
      </w:r>
      <w:r>
        <w:rPr>
          <w:rFonts w:hint="eastAsia" w:ascii="仿宋_GB2312" w:eastAsia="仿宋_GB2312"/>
          <w:color w:val="000000"/>
          <w:sz w:val="32"/>
          <w:szCs w:val="32"/>
          <w:highlight w:val="none"/>
        </w:rPr>
        <w:t>万元，完成预算的</w:t>
      </w:r>
      <w:r>
        <w:rPr>
          <w:rFonts w:hint="eastAsia" w:ascii="仿宋" w:hAnsi="仿宋" w:eastAsia="仿宋" w:cs="仿宋"/>
          <w:color w:val="auto"/>
          <w:sz w:val="32"/>
          <w:szCs w:val="32"/>
          <w:highlight w:val="none"/>
          <w:shd w:val="clear" w:color="auto" w:fill="FFFFFF"/>
          <w:lang w:val="en-US" w:eastAsia="zh-CN"/>
        </w:rPr>
        <w:t>54.75</w:t>
      </w:r>
      <w:r>
        <w:rPr>
          <w:rFonts w:hint="eastAsia" w:ascii="仿宋_GB2312" w:eastAsia="仿宋_GB2312"/>
          <w:color w:val="000000"/>
          <w:sz w:val="32"/>
          <w:szCs w:val="32"/>
          <w:highlight w:val="none"/>
        </w:rPr>
        <w:t>%；</w:t>
      </w:r>
      <w:r>
        <w:rPr>
          <w:rFonts w:hint="eastAsia" w:ascii="仿宋_GB2312" w:hAnsi="仿宋_GB2312" w:cs="仿宋_GB2312"/>
          <w:lang w:val="en-US" w:eastAsia="zh-CN"/>
        </w:rPr>
        <w:t>较上年减少</w:t>
      </w:r>
      <w:r>
        <w:rPr>
          <w:rFonts w:hint="eastAsia" w:ascii="仿宋" w:hAnsi="仿宋" w:eastAsia="仿宋" w:cs="仿宋"/>
          <w:color w:val="auto"/>
          <w:sz w:val="32"/>
          <w:szCs w:val="32"/>
          <w:highlight w:val="none"/>
          <w:shd w:val="clear" w:color="auto" w:fill="FFFFFF"/>
          <w:lang w:val="en-US" w:eastAsia="zh-CN"/>
        </w:rPr>
        <w:t>0.89</w:t>
      </w:r>
      <w:r>
        <w:rPr>
          <w:rFonts w:hint="eastAsia" w:ascii="仿宋_GB2312" w:hAnsi="仿宋_GB2312" w:cs="仿宋_GB2312"/>
          <w:u w:val="none"/>
          <w:lang w:val="en-US" w:eastAsia="zh-CN"/>
        </w:rPr>
        <w:t>万元，下降</w:t>
      </w:r>
      <w:r>
        <w:rPr>
          <w:rFonts w:hint="eastAsia" w:ascii="仿宋" w:hAnsi="仿宋" w:eastAsia="仿宋" w:cs="仿宋"/>
          <w:color w:val="auto"/>
          <w:sz w:val="32"/>
          <w:szCs w:val="32"/>
          <w:highlight w:val="none"/>
          <w:shd w:val="clear" w:color="auto" w:fill="FFFFFF"/>
          <w:lang w:val="en-US" w:eastAsia="zh-CN"/>
        </w:rPr>
        <w:t>28.90</w:t>
      </w:r>
      <w:r>
        <w:rPr>
          <w:rFonts w:hint="eastAsia" w:ascii="仿宋_GB2312" w:hAnsi="仿宋_GB2312" w:cs="仿宋_GB2312"/>
          <w:u w:val="none"/>
          <w:lang w:val="en-US" w:eastAsia="zh-CN"/>
        </w:rPr>
        <w:t>%。</w:t>
      </w:r>
      <w:r>
        <w:rPr>
          <w:rFonts w:hint="eastAsia" w:ascii="仿宋_GB2312" w:hAnsi="仿宋_GB2312" w:eastAsia="仿宋_GB2312" w:cs="仿宋_GB2312"/>
          <w:highlight w:val="none"/>
          <w:lang w:val="en-US" w:eastAsia="zh-CN"/>
        </w:rPr>
        <w:t>决算数小于预算数的主要原因</w:t>
      </w:r>
      <w:r>
        <w:rPr>
          <w:rFonts w:hint="eastAsia" w:ascii="仿宋_GB2312" w:hAnsi="仿宋_GB2312" w:cs="仿宋_GB2312"/>
          <w:highlight w:val="none"/>
          <w:lang w:val="en-US" w:eastAsia="zh-CN"/>
        </w:rPr>
        <w:t>是厉行节约，严格控制支出</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决算数较上年减少的主要原因公务用车上年有较大维修，本年度无该项支出</w:t>
      </w:r>
      <w:r>
        <w:rPr>
          <w:rFonts w:hint="eastAsia" w:ascii="仿宋_GB2312" w:hAnsi="仿宋_GB2312" w:eastAsia="仿宋_GB2312" w:cs="仿宋_GB2312"/>
          <w:lang w:val="en-US" w:eastAsia="zh-CN"/>
        </w:rPr>
        <w:t>。</w:t>
      </w:r>
      <w:r>
        <w:rPr>
          <w:rFonts w:hint="eastAsia" w:ascii="仿宋_GB2312" w:eastAsia="仿宋_GB2312"/>
          <w:color w:val="000000"/>
          <w:sz w:val="32"/>
          <w:szCs w:val="32"/>
          <w:highlight w:val="none"/>
        </w:rPr>
        <w:t>其中：</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(1)公务用车购置费支出0万元，本年度购置(更新)公务用车0辆。</w:t>
      </w:r>
    </w:p>
    <w:p>
      <w:pPr>
        <w:numPr>
          <w:ilvl w:val="0"/>
          <w:numId w:val="0"/>
        </w:numPr>
        <w:shd w:val="clear" w:color="auto" w:fill="auto"/>
        <w:bidi w:val="0"/>
        <w:ind w:firstLine="640" w:firstLineChars="200"/>
        <w:rPr>
          <w:rFonts w:hint="eastAsia" w:ascii="仿宋" w:hAnsi="仿宋" w:eastAsia="仿宋" w:cs="仿宋"/>
          <w:color w:val="auto"/>
          <w:sz w:val="32"/>
          <w:szCs w:val="32"/>
          <w:highlight w:val="none"/>
          <w:shd w:val="clear" w:color="auto" w:fill="FFFFFF"/>
          <w:lang w:val="en-US" w:eastAsia="zh-CN"/>
        </w:rPr>
      </w:pPr>
      <w:r>
        <w:rPr>
          <w:rFonts w:hint="eastAsia" w:ascii="仿宋" w:hAnsi="仿宋" w:eastAsia="仿宋" w:cs="仿宋"/>
          <w:color w:val="auto"/>
          <w:sz w:val="32"/>
          <w:szCs w:val="32"/>
          <w:highlight w:val="none"/>
          <w:shd w:val="clear" w:color="auto" w:fill="FFFFFF"/>
          <w:lang w:val="en-US" w:eastAsia="zh-CN"/>
        </w:rPr>
        <w:t>(2)公务用车运行费支出2.19万元，主要用于公务用车的保险费、保养费、维修费、过路过桥费、油费。截止2022年12月31日，开支财政拨款的公务用车保有量为1辆。</w:t>
      </w:r>
    </w:p>
    <w:p>
      <w:pPr>
        <w:numPr>
          <w:ilvl w:val="0"/>
          <w:numId w:val="0"/>
        </w:numPr>
        <w:shd w:val="clear" w:color="auto" w:fill="auto"/>
        <w:bidi w:val="0"/>
        <w:ind w:firstLine="640" w:firstLineChars="200"/>
        <w:rPr>
          <w:rFonts w:hint="eastAsia"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rPr>
        <w:t>3.公务接待费</w:t>
      </w:r>
      <w:r>
        <w:rPr>
          <w:rFonts w:hint="eastAsia" w:ascii="仿宋_GB2312"/>
          <w:color w:val="000000"/>
          <w:sz w:val="32"/>
          <w:szCs w:val="32"/>
          <w:highlight w:val="none"/>
          <w:lang w:eastAsia="zh-CN"/>
        </w:rPr>
        <w:t>预算为</w:t>
      </w:r>
      <w:r>
        <w:rPr>
          <w:rFonts w:hint="eastAsia" w:ascii="仿宋" w:hAnsi="仿宋" w:eastAsia="仿宋" w:cs="仿宋"/>
          <w:color w:val="auto"/>
          <w:sz w:val="32"/>
          <w:szCs w:val="32"/>
          <w:highlight w:val="none"/>
          <w:shd w:val="clear" w:color="auto" w:fill="FFFFFF"/>
          <w:lang w:val="en-US" w:eastAsia="zh-CN"/>
        </w:rPr>
        <w:t>10.3</w:t>
      </w:r>
      <w:r>
        <w:rPr>
          <w:rFonts w:hint="eastAsia" w:ascii="仿宋_GB2312" w:eastAsia="仿宋_GB2312"/>
          <w:color w:val="000000"/>
          <w:sz w:val="32"/>
          <w:szCs w:val="32"/>
          <w:highlight w:val="none"/>
        </w:rPr>
        <w:t>万元</w:t>
      </w:r>
      <w:r>
        <w:rPr>
          <w:rFonts w:hint="eastAsia" w:ascii="仿宋_GB2312"/>
          <w:color w:val="000000"/>
          <w:sz w:val="32"/>
          <w:szCs w:val="32"/>
          <w:highlight w:val="none"/>
          <w:lang w:eastAsia="zh-CN"/>
        </w:rPr>
        <w:t>，</w:t>
      </w:r>
      <w:r>
        <w:rPr>
          <w:rFonts w:hint="eastAsia" w:ascii="仿宋_GB2312" w:eastAsia="仿宋_GB2312"/>
          <w:color w:val="000000"/>
          <w:sz w:val="32"/>
          <w:szCs w:val="32"/>
          <w:highlight w:val="none"/>
        </w:rPr>
        <w:t>支出决算为</w:t>
      </w:r>
      <w:r>
        <w:rPr>
          <w:rFonts w:hint="eastAsia" w:ascii="仿宋" w:hAnsi="仿宋" w:eastAsia="仿宋" w:cs="仿宋"/>
          <w:color w:val="auto"/>
          <w:sz w:val="32"/>
          <w:szCs w:val="32"/>
          <w:highlight w:val="none"/>
          <w:shd w:val="clear" w:color="auto" w:fill="FFFFFF"/>
          <w:lang w:val="en-US" w:eastAsia="zh-CN"/>
        </w:rPr>
        <w:t>2.65</w:t>
      </w:r>
      <w:r>
        <w:rPr>
          <w:rFonts w:hint="eastAsia" w:ascii="仿宋_GB2312" w:eastAsia="仿宋_GB2312"/>
          <w:color w:val="000000"/>
          <w:sz w:val="32"/>
          <w:szCs w:val="32"/>
          <w:highlight w:val="none"/>
        </w:rPr>
        <w:t>万元，</w:t>
      </w:r>
      <w:r>
        <w:rPr>
          <w:rFonts w:hint="eastAsia" w:ascii="仿宋_GB2312" w:eastAsia="仿宋_GB2312"/>
          <w:color w:val="000000"/>
          <w:sz w:val="32"/>
          <w:szCs w:val="32"/>
          <w:highlight w:val="none"/>
          <w:lang w:eastAsia="zh-CN"/>
        </w:rPr>
        <w:t>完成</w:t>
      </w:r>
      <w:r>
        <w:rPr>
          <w:rFonts w:hint="eastAsia" w:ascii="仿宋_GB2312" w:eastAsia="仿宋_GB2312"/>
          <w:color w:val="000000"/>
          <w:sz w:val="32"/>
          <w:szCs w:val="32"/>
          <w:highlight w:val="none"/>
        </w:rPr>
        <w:t>预算的</w:t>
      </w:r>
      <w:r>
        <w:rPr>
          <w:rFonts w:hint="eastAsia" w:ascii="仿宋" w:hAnsi="仿宋" w:eastAsia="仿宋" w:cs="仿宋"/>
          <w:color w:val="auto"/>
          <w:sz w:val="32"/>
          <w:szCs w:val="32"/>
          <w:highlight w:val="none"/>
          <w:shd w:val="clear" w:color="auto" w:fill="FFFFFF"/>
          <w:lang w:val="en-US" w:eastAsia="zh-CN"/>
        </w:rPr>
        <w:t>25.73</w:t>
      </w:r>
      <w:r>
        <w:rPr>
          <w:rFonts w:hint="eastAsia" w:ascii="仿宋_GB2312" w:eastAsia="仿宋_GB2312"/>
          <w:color w:val="000000"/>
          <w:sz w:val="32"/>
          <w:szCs w:val="32"/>
          <w:highlight w:val="none"/>
        </w:rPr>
        <w:t>%</w:t>
      </w:r>
      <w:r>
        <w:rPr>
          <w:rFonts w:hint="eastAsia" w:ascii="仿宋_GB2312"/>
          <w:color w:val="000000"/>
          <w:sz w:val="32"/>
          <w:szCs w:val="32"/>
          <w:highlight w:val="none"/>
          <w:lang w:eastAsia="zh-CN"/>
        </w:rPr>
        <w:t>，</w:t>
      </w:r>
      <w:r>
        <w:rPr>
          <w:rFonts w:hint="eastAsia" w:ascii="仿宋_GB2312" w:hAnsi="仿宋_GB2312" w:cs="仿宋_GB2312"/>
          <w:lang w:val="en-US" w:eastAsia="zh-CN"/>
        </w:rPr>
        <w:t>较上年减少</w:t>
      </w:r>
      <w:r>
        <w:rPr>
          <w:rFonts w:hint="eastAsia" w:ascii="仿宋" w:hAnsi="仿宋" w:eastAsia="仿宋" w:cs="仿宋"/>
          <w:color w:val="auto"/>
          <w:sz w:val="32"/>
          <w:szCs w:val="32"/>
          <w:highlight w:val="none"/>
          <w:shd w:val="clear" w:color="auto" w:fill="FFFFFF"/>
          <w:lang w:val="en-US" w:eastAsia="zh-CN"/>
        </w:rPr>
        <w:t>0.01</w:t>
      </w:r>
      <w:r>
        <w:rPr>
          <w:rFonts w:hint="eastAsia" w:ascii="仿宋_GB2312" w:hAnsi="仿宋_GB2312" w:cs="仿宋_GB2312"/>
          <w:u w:val="none"/>
          <w:lang w:val="en-US" w:eastAsia="zh-CN"/>
        </w:rPr>
        <w:t>万元，下降</w:t>
      </w:r>
      <w:r>
        <w:rPr>
          <w:rFonts w:hint="eastAsia" w:ascii="仿宋" w:hAnsi="仿宋" w:eastAsia="仿宋" w:cs="仿宋"/>
          <w:color w:val="auto"/>
          <w:sz w:val="32"/>
          <w:szCs w:val="32"/>
          <w:highlight w:val="none"/>
          <w:shd w:val="clear" w:color="auto" w:fill="FFFFFF"/>
          <w:lang w:val="en-US" w:eastAsia="zh-CN"/>
        </w:rPr>
        <w:t>0.38</w:t>
      </w:r>
      <w:r>
        <w:rPr>
          <w:rFonts w:hint="eastAsia" w:ascii="仿宋_GB2312" w:hAnsi="仿宋_GB2312" w:cs="仿宋_GB2312"/>
          <w:u w:val="none"/>
          <w:lang w:val="en-US" w:eastAsia="zh-CN"/>
        </w:rPr>
        <w:t>%。</w:t>
      </w:r>
      <w:r>
        <w:rPr>
          <w:rFonts w:hint="eastAsia" w:ascii="仿宋_GB2312" w:hAnsi="仿宋_GB2312" w:eastAsia="仿宋_GB2312" w:cs="仿宋_GB2312"/>
          <w:highlight w:val="none"/>
          <w:lang w:val="en-US" w:eastAsia="zh-CN"/>
        </w:rPr>
        <w:t>决算数小于预算数的主要原因</w:t>
      </w:r>
      <w:r>
        <w:rPr>
          <w:rFonts w:hint="eastAsia" w:ascii="仿宋_GB2312" w:hAnsi="仿宋_GB2312" w:cs="仿宋_GB2312"/>
          <w:highlight w:val="none"/>
          <w:lang w:val="en-US" w:eastAsia="zh-CN"/>
        </w:rPr>
        <w:t>厉行节约，严格控制支出。</w:t>
      </w:r>
      <w:r>
        <w:rPr>
          <w:rFonts w:hint="eastAsia" w:ascii="仿宋_GB2312" w:eastAsia="仿宋_GB2312"/>
          <w:color w:val="000000"/>
          <w:sz w:val="32"/>
          <w:szCs w:val="32"/>
          <w:highlight w:val="none"/>
          <w:lang w:val="en-US" w:eastAsia="zh-CN"/>
        </w:rPr>
        <w:t>其中：</w:t>
      </w:r>
    </w:p>
    <w:p>
      <w:pPr>
        <w:numPr>
          <w:ilvl w:val="0"/>
          <w:numId w:val="0"/>
        </w:numPr>
        <w:shd w:val="clear" w:color="auto" w:fill="auto"/>
        <w:bidi w:val="0"/>
        <w:ind w:firstLine="640" w:firstLineChars="200"/>
        <w:rPr>
          <w:rFonts w:hint="eastAsia"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lang w:val="en-US" w:eastAsia="zh-CN"/>
        </w:rPr>
        <w:t>外宾接待支出0万元。2022年共接待来访团组0个， 0    人次（不包括陪同人员）。</w:t>
      </w:r>
    </w:p>
    <w:p>
      <w:pPr>
        <w:numPr>
          <w:ilvl w:val="0"/>
          <w:numId w:val="0"/>
        </w:numPr>
        <w:shd w:val="clear" w:color="auto" w:fill="auto"/>
        <w:bidi w:val="0"/>
        <w:ind w:firstLine="640" w:firstLineChars="200"/>
        <w:rPr>
          <w:rFonts w:hint="default"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lang w:val="en-US" w:eastAsia="zh-CN"/>
        </w:rPr>
        <w:t>国内公务接待支出2.65万元，接待对象主要是财政部湖北监管局、省财政厅相关处室、黄冈市财政局、宜城市财政局等，主要是开展调研和检查工作。2022年共接待国内来访团组21个，184人次（不包括陪同人员）。</w:t>
      </w:r>
    </w:p>
    <w:p>
      <w:pPr>
        <w:shd w:val="clear" w:color="auto" w:fill="auto"/>
        <w:ind w:firstLine="640"/>
        <w:jc w:val="both"/>
        <w:rPr>
          <w:rFonts w:hint="eastAsia" w:ascii="黑体" w:hAnsi="黑体" w:eastAsia="黑体" w:cs="黑体"/>
          <w:lang w:val="en-US" w:eastAsia="zh-CN"/>
        </w:rPr>
      </w:pPr>
      <w:r>
        <w:rPr>
          <w:rFonts w:hint="eastAsia" w:ascii="黑体" w:hAnsi="黑体" w:eastAsia="黑体" w:cs="黑体"/>
          <w:lang w:val="en-US" w:eastAsia="zh-CN"/>
        </w:rPr>
        <w:t>十、机关运行经费支出说明</w:t>
      </w:r>
    </w:p>
    <w:p>
      <w:pPr>
        <w:pStyle w:val="9"/>
        <w:shd w:val="clear" w:color="auto" w:fill="auto"/>
        <w:rPr>
          <w:rFonts w:hint="eastAsia" w:ascii="仿宋_GB2312" w:eastAsia="仿宋_GB2312"/>
          <w:szCs w:val="32"/>
          <w:highlight w:val="magenta"/>
        </w:rPr>
      </w:pPr>
      <w:r>
        <w:rPr>
          <w:rFonts w:hint="eastAsia" w:ascii="仿宋_GB2312" w:hAnsi="Times New Roman" w:eastAsia="仿宋_GB2312" w:cs="Times New Roman"/>
          <w:color w:val="000000"/>
          <w:kern w:val="2"/>
          <w:sz w:val="32"/>
          <w:szCs w:val="32"/>
          <w:highlight w:val="none"/>
          <w:lang w:val="en-US" w:eastAsia="zh-CN" w:bidi="ar-SA"/>
        </w:rPr>
        <w:t>本部门（单位） 2022年度机关运行经费支出387.51万元，比2021年决算数增加21.29万元，增长5.81%，比年初预算数增加2.87万元，增长 0.75 %。主要原因一是市纪委派驻纪检组公用经费未纳入到年初预算中，实际支出在机关运行经费中体现；二是由于新录用人员，导致办公设备购置支出和其他交通费等支出增加，该项支出未在年初预算体现</w:t>
      </w:r>
      <w:r>
        <w:rPr>
          <w:rFonts w:hint="eastAsia" w:ascii="仿宋_GB2312" w:eastAsia="仿宋_GB2312"/>
          <w:szCs w:val="32"/>
          <w:lang w:eastAsia="zh-CN"/>
        </w:rPr>
        <w:t>。</w:t>
      </w:r>
    </w:p>
    <w:p>
      <w:pPr>
        <w:numPr>
          <w:ilvl w:val="0"/>
          <w:numId w:val="0"/>
        </w:numPr>
        <w:shd w:val="clear" w:color="auto" w:fill="auto"/>
        <w:bidi w:val="0"/>
        <w:ind w:leftChars="200"/>
        <w:rPr>
          <w:rFonts w:hint="eastAsia" w:ascii="黑体" w:hAnsi="黑体" w:eastAsia="黑体" w:cs="黑体"/>
          <w:lang w:val="en-US" w:eastAsia="zh-CN"/>
        </w:rPr>
      </w:pPr>
      <w:r>
        <w:rPr>
          <w:rFonts w:hint="eastAsia" w:ascii="黑体" w:hAnsi="黑体" w:eastAsia="黑体" w:cs="黑体"/>
          <w:lang w:val="en-US" w:eastAsia="zh-CN"/>
        </w:rPr>
        <w:t>十一、政府采购支出说明</w:t>
      </w:r>
    </w:p>
    <w:p>
      <w:pPr>
        <w:numPr>
          <w:ilvl w:val="0"/>
          <w:numId w:val="0"/>
        </w:numPr>
        <w:shd w:val="clear" w:color="auto" w:fill="auto"/>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 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年度政府采购支出总额</w:t>
      </w:r>
      <w:r>
        <w:rPr>
          <w:rFonts w:hint="eastAsia" w:ascii="仿宋" w:hAnsi="仿宋" w:eastAsia="仿宋" w:cs="仿宋"/>
          <w:color w:val="auto"/>
          <w:sz w:val="32"/>
          <w:szCs w:val="32"/>
          <w:highlight w:val="none"/>
          <w:shd w:val="clear" w:color="auto" w:fill="FFFFFF"/>
          <w:lang w:val="en-US" w:eastAsia="zh-CN"/>
        </w:rPr>
        <w:t>171.73</w:t>
      </w:r>
      <w:r>
        <w:rPr>
          <w:rFonts w:hint="eastAsia" w:ascii="仿宋_GB2312" w:hAnsi="仿宋_GB2312" w:eastAsia="仿宋_GB2312" w:cs="仿宋_GB2312"/>
          <w:sz w:val="32"/>
          <w:szCs w:val="32"/>
        </w:rPr>
        <w:t>万元，其中：政府采购货物支出</w:t>
      </w:r>
      <w:r>
        <w:rPr>
          <w:rFonts w:hint="eastAsia" w:ascii="仿宋" w:hAnsi="仿宋" w:eastAsia="仿宋" w:cs="仿宋"/>
          <w:color w:val="auto"/>
          <w:sz w:val="32"/>
          <w:szCs w:val="32"/>
          <w:highlight w:val="none"/>
          <w:shd w:val="clear" w:color="auto" w:fill="FFFFFF"/>
          <w:lang w:val="en-US" w:eastAsia="zh-CN"/>
        </w:rPr>
        <w:t>14.19</w:t>
      </w:r>
      <w:r>
        <w:rPr>
          <w:rFonts w:hint="eastAsia" w:ascii="仿宋_GB2312" w:hAnsi="仿宋_GB2312" w:eastAsia="仿宋_GB2312" w:cs="仿宋_GB2312"/>
          <w:sz w:val="32"/>
          <w:szCs w:val="32"/>
        </w:rPr>
        <w:t>万元、政府采购工程支出</w:t>
      </w:r>
      <w:r>
        <w:rPr>
          <w:rFonts w:hint="eastAsia" w:ascii="仿宋_GB2312" w:hAnsi="仿宋_GB2312" w:cs="仿宋_GB2312"/>
          <w:sz w:val="32"/>
          <w:szCs w:val="32"/>
          <w:lang w:val="en-US" w:eastAsia="zh-CN"/>
        </w:rPr>
        <w:t>0</w:t>
      </w:r>
      <w:r>
        <w:rPr>
          <w:rFonts w:hint="eastAsia" w:ascii="仿宋_GB2312" w:hAnsi="仿宋_GB2312" w:eastAsia="仿宋_GB2312" w:cs="仿宋_GB2312"/>
          <w:sz w:val="32"/>
          <w:szCs w:val="32"/>
        </w:rPr>
        <w:t>万元、政府采购服务支出</w:t>
      </w:r>
      <w:r>
        <w:rPr>
          <w:rFonts w:hint="eastAsia" w:ascii="仿宋" w:hAnsi="仿宋" w:eastAsia="仿宋" w:cs="仿宋"/>
          <w:color w:val="auto"/>
          <w:sz w:val="32"/>
          <w:szCs w:val="32"/>
          <w:highlight w:val="none"/>
          <w:shd w:val="clear" w:color="auto" w:fill="FFFFFF"/>
          <w:lang w:val="en-US" w:eastAsia="zh-CN"/>
        </w:rPr>
        <w:t>157.54</w:t>
      </w:r>
      <w:r>
        <w:rPr>
          <w:rFonts w:hint="eastAsia" w:ascii="仿宋_GB2312" w:hAnsi="仿宋_GB2312" w:eastAsia="仿宋_GB2312" w:cs="仿宋_GB2312"/>
          <w:sz w:val="32"/>
          <w:szCs w:val="32"/>
        </w:rPr>
        <w:t>万元。授予中小企业合同金额</w:t>
      </w:r>
      <w:r>
        <w:rPr>
          <w:rFonts w:hint="eastAsia" w:ascii="仿宋_GB2312" w:hAnsi="仿宋_GB2312" w:eastAsia="仿宋_GB2312" w:cs="仿宋_GB2312"/>
          <w:sz w:val="32"/>
          <w:szCs w:val="32"/>
          <w:u w:val="single"/>
          <w:lang w:val="en-US" w:eastAsia="zh-CN"/>
        </w:rPr>
        <w:t xml:space="preserve">    </w:t>
      </w:r>
      <w:r>
        <w:rPr>
          <w:rFonts w:hint="eastAsia" w:ascii="仿宋" w:hAnsi="仿宋" w:eastAsia="仿宋" w:cs="仿宋"/>
          <w:color w:val="auto"/>
          <w:sz w:val="32"/>
          <w:szCs w:val="32"/>
          <w:highlight w:val="none"/>
          <w:shd w:val="clear" w:color="auto" w:fill="FFFFFF"/>
          <w:lang w:val="en-US" w:eastAsia="zh-CN"/>
        </w:rPr>
        <w:t>171.73</w:t>
      </w:r>
      <w:r>
        <w:rPr>
          <w:rFonts w:hint="eastAsia" w:ascii="仿宋_GB2312" w:hAnsi="仿宋_GB2312" w:eastAsia="仿宋_GB2312" w:cs="仿宋_GB2312"/>
          <w:sz w:val="32"/>
          <w:szCs w:val="32"/>
        </w:rPr>
        <w:t>万元，占政府采购支出总额的</w:t>
      </w:r>
      <w:r>
        <w:rPr>
          <w:rFonts w:hint="eastAsia" w:ascii="仿宋" w:hAnsi="仿宋" w:eastAsia="仿宋" w:cs="仿宋"/>
          <w:color w:val="auto"/>
          <w:sz w:val="32"/>
          <w:szCs w:val="32"/>
          <w:highlight w:val="none"/>
          <w:shd w:val="clear" w:color="auto" w:fill="FFFFFF"/>
          <w:lang w:val="en-US" w:eastAsia="zh-CN"/>
        </w:rPr>
        <w:t>100</w:t>
      </w:r>
      <w:r>
        <w:rPr>
          <w:rFonts w:hint="eastAsia" w:ascii="仿宋" w:hAnsi="仿宋" w:eastAsia="仿宋" w:cs="仿宋"/>
          <w:color w:val="auto"/>
          <w:sz w:val="32"/>
          <w:szCs w:val="32"/>
          <w:highlight w:val="none"/>
          <w:shd w:val="clear" w:color="auto" w:fill="FFFFFF"/>
        </w:rPr>
        <w:t>%</w:t>
      </w:r>
      <w:r>
        <w:rPr>
          <w:rFonts w:hint="eastAsia" w:ascii="仿宋_GB2312" w:hAnsi="仿宋_GB2312" w:eastAsia="仿宋_GB2312" w:cs="仿宋_GB2312"/>
          <w:sz w:val="32"/>
          <w:szCs w:val="32"/>
        </w:rPr>
        <w:t>，其中：</w:t>
      </w:r>
      <w:r>
        <w:rPr>
          <w:rFonts w:hint="eastAsia" w:ascii="仿宋_GB2312" w:hAnsi="仿宋_GB2312" w:eastAsia="仿宋_GB2312" w:cs="仿宋_GB2312"/>
          <w:sz w:val="32"/>
          <w:szCs w:val="32"/>
          <w:highlight w:val="none"/>
        </w:rPr>
        <w:t>授予小微企业合同金额</w:t>
      </w:r>
      <w:r>
        <w:rPr>
          <w:rFonts w:hint="eastAsia" w:ascii="仿宋" w:hAnsi="仿宋" w:eastAsia="仿宋" w:cs="仿宋"/>
          <w:color w:val="auto"/>
          <w:sz w:val="32"/>
          <w:szCs w:val="32"/>
          <w:highlight w:val="none"/>
          <w:shd w:val="clear" w:color="auto" w:fill="FFFFFF"/>
          <w:lang w:val="en-US" w:eastAsia="zh-CN"/>
        </w:rPr>
        <w:t>171.73</w:t>
      </w:r>
      <w:r>
        <w:rPr>
          <w:rFonts w:hint="eastAsia" w:ascii="仿宋_GB2312" w:hAnsi="仿宋_GB2312" w:eastAsia="仿宋_GB2312" w:cs="仿宋_GB2312"/>
          <w:sz w:val="32"/>
          <w:szCs w:val="32"/>
          <w:highlight w:val="none"/>
        </w:rPr>
        <w:t>万元，占授予中小企业合同金额的</w:t>
      </w:r>
      <w:r>
        <w:rPr>
          <w:rFonts w:hint="eastAsia" w:ascii="仿宋_GB2312" w:hAnsi="仿宋_GB2312" w:cs="仿宋_GB2312"/>
          <w:sz w:val="32"/>
          <w:szCs w:val="32"/>
          <w:highlight w:val="none"/>
          <w:lang w:val="en-US" w:eastAsia="zh-CN"/>
        </w:rPr>
        <w:t>100</w:t>
      </w:r>
      <w:r>
        <w:rPr>
          <w:rFonts w:hint="eastAsia" w:ascii="仿宋_GB2312" w:hAnsi="仿宋_GB2312" w:eastAsia="仿宋_GB2312" w:cs="仿宋_GB2312"/>
          <w:sz w:val="32"/>
          <w:szCs w:val="32"/>
          <w:highlight w:val="none"/>
        </w:rPr>
        <w:t>%；货物采购授予中小企业合同金额占货</w:t>
      </w:r>
      <w:r>
        <w:rPr>
          <w:rFonts w:hint="eastAsia" w:ascii="仿宋_GB2312" w:hAnsi="仿宋_GB2312" w:eastAsia="仿宋_GB2312" w:cs="仿宋_GB2312"/>
          <w:sz w:val="32"/>
          <w:szCs w:val="32"/>
        </w:rPr>
        <w:t>物支出金额的</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%，工程采购授予中小企业合同金额占工程支出金额的</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%，服务采购授予中小企业合同金额占服务支出金额的</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0"/>
        </w:numPr>
        <w:shd w:val="clear" w:color="auto" w:fill="auto"/>
        <w:bidi w:val="0"/>
        <w:ind w:leftChars="200"/>
        <w:rPr>
          <w:rFonts w:hint="eastAsia" w:ascii="黑体" w:hAnsi="黑体" w:eastAsia="黑体" w:cs="黑体"/>
          <w:lang w:val="en-US" w:eastAsia="zh-CN"/>
        </w:rPr>
      </w:pPr>
      <w:r>
        <w:rPr>
          <w:rFonts w:hint="eastAsia" w:ascii="黑体" w:hAnsi="黑体" w:eastAsia="黑体" w:cs="黑体"/>
          <w:lang w:val="en-US" w:eastAsia="zh-CN"/>
        </w:rPr>
        <w:t>十二、国有资产占用情况说明</w:t>
      </w:r>
    </w:p>
    <w:p>
      <w:pPr>
        <w:shd w:val="clear" w:color="auto" w:fill="auto"/>
        <w:bidi w:val="0"/>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截至</w:t>
      </w:r>
      <w:r>
        <w:rPr>
          <w:rFonts w:hint="eastAsia" w:ascii="仿宋_GB2312" w:hAnsi="仿宋_GB2312" w:cs="仿宋_GB2312"/>
          <w:szCs w:val="32"/>
          <w:lang w:val="en-US" w:eastAsia="zh-CN"/>
        </w:rPr>
        <w:t>2022</w:t>
      </w:r>
      <w:r>
        <w:rPr>
          <w:rFonts w:hint="eastAsia" w:ascii="仿宋_GB2312" w:hAnsi="仿宋_GB2312" w:eastAsia="仿宋_GB2312" w:cs="仿宋_GB2312"/>
          <w:szCs w:val="32"/>
        </w:rPr>
        <w:t>年 12月31日，部门</w:t>
      </w:r>
      <w:r>
        <w:rPr>
          <w:rFonts w:hint="eastAsia" w:ascii="仿宋_GB2312" w:hAnsi="仿宋_GB2312" w:cs="仿宋_GB2312"/>
          <w:szCs w:val="32"/>
          <w:lang w:val="en-US" w:eastAsia="zh-CN"/>
        </w:rPr>
        <w:t>(单位）</w:t>
      </w:r>
      <w:r>
        <w:rPr>
          <w:rFonts w:hint="eastAsia" w:ascii="仿宋_GB2312" w:hAnsi="仿宋_GB2312" w:eastAsia="仿宋_GB2312" w:cs="仿宋_GB2312"/>
          <w:szCs w:val="32"/>
        </w:rPr>
        <w:t>共有车辆</w:t>
      </w:r>
      <w:r>
        <w:rPr>
          <w:rFonts w:hint="eastAsia" w:ascii="仿宋_GB2312" w:hAnsi="仿宋_GB2312" w:cs="仿宋_GB2312"/>
          <w:sz w:val="32"/>
          <w:szCs w:val="32"/>
          <w:u w:val="none"/>
          <w:lang w:val="en-US" w:eastAsia="zh-CN"/>
        </w:rPr>
        <w:t>1</w:t>
      </w:r>
      <w:r>
        <w:rPr>
          <w:rFonts w:hint="eastAsia" w:ascii="仿宋_GB2312" w:hAnsi="仿宋_GB2312" w:eastAsia="仿宋_GB2312" w:cs="仿宋_GB2312"/>
          <w:szCs w:val="32"/>
        </w:rPr>
        <w:t>辆，其中，副省级及以上领导干部用车</w:t>
      </w:r>
      <w:r>
        <w:rPr>
          <w:rFonts w:hint="eastAsia" w:ascii="仿宋_GB2312" w:hAnsi="仿宋_GB2312" w:cs="仿宋_GB2312"/>
          <w:szCs w:val="32"/>
          <w:lang w:val="en-US" w:eastAsia="zh-CN"/>
        </w:rPr>
        <w:t>0</w:t>
      </w:r>
      <w:r>
        <w:rPr>
          <w:rFonts w:hint="eastAsia" w:ascii="仿宋_GB2312" w:hAnsi="仿宋_GB2312" w:eastAsia="仿宋_GB2312" w:cs="仿宋_GB2312"/>
          <w:szCs w:val="32"/>
        </w:rPr>
        <w:t>辆、主要领导干部用车</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cs="仿宋_GB2312"/>
          <w:sz w:val="32"/>
          <w:szCs w:val="32"/>
          <w:u w:val="none"/>
          <w:lang w:val="en-US" w:eastAsia="zh-CN"/>
        </w:rPr>
        <w:t>0</w:t>
      </w:r>
      <w:r>
        <w:rPr>
          <w:rFonts w:hint="eastAsia" w:ascii="仿宋_GB2312" w:hAnsi="仿宋_GB2312" w:eastAsia="仿宋_GB2312" w:cs="仿宋_GB2312"/>
          <w:szCs w:val="32"/>
        </w:rPr>
        <w:t>辆、机要通信用车</w:t>
      </w:r>
      <w:r>
        <w:rPr>
          <w:rFonts w:hint="eastAsia" w:ascii="仿宋_GB2312" w:hAnsi="仿宋_GB2312" w:cs="仿宋_GB2312"/>
          <w:sz w:val="32"/>
          <w:szCs w:val="32"/>
          <w:u w:val="none"/>
          <w:lang w:val="en-US" w:eastAsia="zh-CN"/>
        </w:rPr>
        <w:t>0</w:t>
      </w:r>
      <w:r>
        <w:rPr>
          <w:rFonts w:hint="eastAsia" w:ascii="仿宋_GB2312" w:hAnsi="仿宋_GB2312" w:eastAsia="仿宋_GB2312" w:cs="仿宋_GB2312"/>
          <w:szCs w:val="32"/>
        </w:rPr>
        <w:t>辆、应急保障用车</w:t>
      </w:r>
      <w:r>
        <w:rPr>
          <w:rFonts w:hint="eastAsia" w:ascii="仿宋_GB2312" w:hAnsi="仿宋_GB2312" w:cs="仿宋_GB2312"/>
          <w:sz w:val="32"/>
          <w:szCs w:val="32"/>
          <w:u w:val="none"/>
          <w:lang w:val="en-US" w:eastAsia="zh-CN"/>
        </w:rPr>
        <w:t>1</w:t>
      </w:r>
      <w:r>
        <w:rPr>
          <w:rFonts w:hint="eastAsia" w:ascii="仿宋_GB2312" w:hAnsi="仿宋_GB2312" w:eastAsia="仿宋_GB2312" w:cs="仿宋_GB2312"/>
          <w:szCs w:val="32"/>
        </w:rPr>
        <w:t>辆、执法执勤用车</w:t>
      </w:r>
      <w:r>
        <w:rPr>
          <w:rFonts w:hint="eastAsia" w:ascii="仿宋_GB2312" w:hAnsi="仿宋_GB2312" w:cs="仿宋_GB2312"/>
          <w:sz w:val="32"/>
          <w:szCs w:val="32"/>
          <w:u w:val="none"/>
          <w:lang w:val="en-US" w:eastAsia="zh-CN"/>
        </w:rPr>
        <w:t>0</w:t>
      </w:r>
      <w:r>
        <w:rPr>
          <w:rFonts w:hint="eastAsia" w:ascii="仿宋_GB2312" w:hAnsi="仿宋_GB2312" w:eastAsia="仿宋_GB2312" w:cs="仿宋_GB2312"/>
          <w:szCs w:val="32"/>
        </w:rPr>
        <w:t>辆、特种专业技术用车</w:t>
      </w:r>
      <w:r>
        <w:rPr>
          <w:rFonts w:hint="eastAsia" w:ascii="仿宋_GB2312" w:hAnsi="仿宋_GB2312" w:cs="仿宋_GB2312"/>
          <w:sz w:val="32"/>
          <w:szCs w:val="32"/>
          <w:u w:val="none"/>
          <w:lang w:val="en-US" w:eastAsia="zh-CN"/>
        </w:rPr>
        <w:t>0</w:t>
      </w:r>
      <w:r>
        <w:rPr>
          <w:rFonts w:hint="eastAsia" w:ascii="仿宋_GB2312" w:hAnsi="仿宋_GB2312" w:eastAsia="仿宋_GB2312" w:cs="仿宋_GB2312"/>
          <w:szCs w:val="32"/>
        </w:rPr>
        <w:t>辆、其他用车</w:t>
      </w:r>
      <w:r>
        <w:rPr>
          <w:rFonts w:hint="eastAsia" w:ascii="仿宋_GB2312" w:hAnsi="仿宋_GB2312" w:cs="仿宋_GB2312"/>
          <w:szCs w:val="32"/>
          <w:lang w:val="en-US" w:eastAsia="zh-CN"/>
        </w:rPr>
        <w:t>0</w:t>
      </w:r>
      <w:r>
        <w:rPr>
          <w:rFonts w:hint="eastAsia" w:ascii="仿宋_GB2312" w:hAnsi="仿宋_GB2312" w:eastAsia="仿宋_GB2312" w:cs="仿宋_GB2312"/>
          <w:szCs w:val="32"/>
        </w:rPr>
        <w:t xml:space="preserve"> 辆；单位价值 100万元以上设备（不含车辆）</w:t>
      </w:r>
      <w:r>
        <w:rPr>
          <w:rFonts w:hint="eastAsia" w:ascii="仿宋_GB2312" w:hAnsi="仿宋_GB2312" w:cs="仿宋_GB2312"/>
          <w:szCs w:val="32"/>
          <w:lang w:val="en-US" w:eastAsia="zh-CN"/>
        </w:rPr>
        <w:t>0</w:t>
      </w:r>
      <w:r>
        <w:rPr>
          <w:rFonts w:hint="eastAsia" w:ascii="仿宋_GB2312" w:hAnsi="仿宋_GB2312" w:eastAsia="仿宋_GB2312" w:cs="仿宋_GB2312"/>
          <w:szCs w:val="32"/>
        </w:rPr>
        <w:t>台（套）。</w:t>
      </w:r>
    </w:p>
    <w:p>
      <w:pPr>
        <w:shd w:val="clear" w:color="auto" w:fill="auto"/>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十三、预算绩效情况说明</w:t>
      </w:r>
    </w:p>
    <w:p>
      <w:pPr>
        <w:shd w:val="clear" w:color="auto" w:fill="auto"/>
        <w:bidi w:val="0"/>
        <w:ind w:firstLine="640" w:firstLineChars="200"/>
        <w:rPr>
          <w:rFonts w:hint="eastAsia" w:ascii="楷体_GB2312" w:hAnsi="楷体_GB2312" w:eastAsia="楷体_GB2312" w:cs="楷体_GB2312"/>
          <w:lang w:eastAsia="zh-CN"/>
        </w:rPr>
      </w:pPr>
      <w:r>
        <w:rPr>
          <w:rFonts w:hint="eastAsia" w:ascii="楷体_GB2312" w:hAnsi="楷体_GB2312" w:eastAsia="楷体_GB2312" w:cs="楷体_GB2312"/>
          <w:lang w:val="en-US" w:eastAsia="zh-CN"/>
        </w:rPr>
        <w:t>(一)</w:t>
      </w:r>
      <w:r>
        <w:rPr>
          <w:rFonts w:hint="eastAsia" w:ascii="楷体_GB2312" w:hAnsi="楷体_GB2312" w:eastAsia="楷体_GB2312" w:cs="楷体_GB2312"/>
        </w:rPr>
        <w:t>预算绩效管理工作开展情况</w:t>
      </w:r>
      <w:r>
        <w:rPr>
          <w:rFonts w:hint="eastAsia" w:ascii="楷体_GB2312" w:hAnsi="楷体_GB2312" w:eastAsia="楷体_GB2312" w:cs="楷体_GB2312"/>
          <w:lang w:eastAsia="zh-CN"/>
        </w:rPr>
        <w:t>。</w:t>
      </w:r>
    </w:p>
    <w:p>
      <w:pPr>
        <w:shd w:val="clear" w:color="auto" w:fill="auto"/>
        <w:bidi w:val="0"/>
        <w:ind w:firstLine="640" w:firstLineChars="200"/>
        <w:rPr>
          <w:rFonts w:hint="eastAsia" w:ascii="仿宋_GB2312" w:hAnsi="仿宋" w:eastAsia="仿宋_GB2312" w:cs="仿宋"/>
          <w:szCs w:val="32"/>
        </w:rPr>
      </w:pPr>
      <w:r>
        <w:rPr>
          <w:rFonts w:hint="eastAsia"/>
        </w:rPr>
        <w:t>根据预算绩效</w:t>
      </w:r>
      <w:r>
        <w:rPr>
          <w:rFonts w:hint="eastAsia" w:ascii="仿宋_GB2312" w:hAnsi="仿宋" w:eastAsia="仿宋_GB2312" w:cs="仿宋"/>
          <w:szCs w:val="32"/>
        </w:rPr>
        <w:t>管理要求，本部门</w:t>
      </w:r>
      <w:r>
        <w:rPr>
          <w:rFonts w:hint="eastAsia" w:ascii="仿宋_GB2312" w:hAnsi="仿宋" w:cs="仿宋"/>
          <w:szCs w:val="32"/>
          <w:lang w:eastAsia="zh-CN"/>
        </w:rPr>
        <w:t>（单位）</w:t>
      </w:r>
      <w:r>
        <w:rPr>
          <w:rFonts w:hint="eastAsia" w:ascii="仿宋_GB2312" w:hAnsi="仿宋" w:eastAsia="仿宋_GB2312" w:cs="仿宋"/>
          <w:szCs w:val="32"/>
        </w:rPr>
        <w:t>组织对202</w:t>
      </w:r>
      <w:r>
        <w:rPr>
          <w:rFonts w:hint="eastAsia" w:ascii="仿宋_GB2312" w:hAnsi="仿宋_GB2312" w:cs="仿宋_GB2312"/>
          <w:szCs w:val="32"/>
          <w:lang w:val="en-US" w:eastAsia="zh-CN"/>
        </w:rPr>
        <w:t>2</w:t>
      </w:r>
      <w:r>
        <w:rPr>
          <w:rFonts w:hint="eastAsia" w:ascii="仿宋_GB2312" w:hAnsi="仿宋" w:eastAsia="仿宋_GB2312" w:cs="仿宋"/>
          <w:szCs w:val="32"/>
        </w:rPr>
        <w:t>年度一般公共预算项目支出全面开展绩效自评，共涉及项目</w:t>
      </w:r>
      <w:r>
        <w:rPr>
          <w:rFonts w:hint="eastAsia" w:ascii="仿宋_GB2312" w:hAnsi="仿宋_GB2312" w:eastAsia="仿宋_GB2312" w:cs="仿宋_GB2312"/>
          <w:sz w:val="32"/>
          <w:szCs w:val="32"/>
          <w:u w:val="single"/>
          <w:lang w:val="en-US" w:eastAsia="zh-CN"/>
        </w:rPr>
        <w:t xml:space="preserve">    </w:t>
      </w:r>
      <w:r>
        <w:rPr>
          <w:rFonts w:hint="eastAsia" w:ascii="仿宋" w:hAnsi="仿宋" w:eastAsia="仿宋" w:cs="仿宋"/>
          <w:color w:val="auto"/>
          <w:sz w:val="32"/>
          <w:szCs w:val="32"/>
          <w:highlight w:val="none"/>
          <w:shd w:val="clear" w:color="auto" w:fill="FFFFFF"/>
          <w:lang w:val="en-US" w:eastAsia="zh-CN"/>
        </w:rPr>
        <w:t>4</w:t>
      </w:r>
      <w:r>
        <w:rPr>
          <w:rFonts w:hint="eastAsia" w:ascii="仿宋_GB2312" w:hAnsi="仿宋" w:eastAsia="仿宋_GB2312" w:cs="仿宋"/>
          <w:szCs w:val="32"/>
        </w:rPr>
        <w:t>个，资金</w:t>
      </w:r>
      <w:r>
        <w:rPr>
          <w:rFonts w:hint="eastAsia" w:ascii="仿宋" w:hAnsi="仿宋" w:eastAsia="仿宋" w:cs="仿宋"/>
          <w:color w:val="auto"/>
          <w:sz w:val="32"/>
          <w:szCs w:val="32"/>
          <w:highlight w:val="none"/>
          <w:shd w:val="clear" w:color="auto" w:fill="FFFFFF"/>
          <w:lang w:val="en-US" w:eastAsia="zh-CN"/>
        </w:rPr>
        <w:t>152</w:t>
      </w:r>
      <w:r>
        <w:rPr>
          <w:rFonts w:hint="eastAsia" w:ascii="仿宋_GB2312" w:hAnsi="仿宋" w:eastAsia="仿宋_GB2312" w:cs="仿宋"/>
          <w:szCs w:val="32"/>
        </w:rPr>
        <w:t>万元，占一般公共预算项目支出总额的</w:t>
      </w:r>
      <w:r>
        <w:rPr>
          <w:rFonts w:hint="eastAsia" w:ascii="仿宋" w:hAnsi="仿宋" w:eastAsia="仿宋" w:cs="仿宋"/>
          <w:color w:val="auto"/>
          <w:sz w:val="32"/>
          <w:szCs w:val="32"/>
          <w:highlight w:val="none"/>
          <w:shd w:val="clear" w:color="auto" w:fill="FFFFFF"/>
          <w:lang w:val="en-US" w:eastAsia="zh-CN"/>
        </w:rPr>
        <w:t>100</w:t>
      </w:r>
      <w:r>
        <w:rPr>
          <w:rFonts w:hint="eastAsia" w:ascii="仿宋_GB2312" w:hAnsi="仿宋" w:eastAsia="仿宋_GB2312" w:cs="仿宋"/>
          <w:szCs w:val="32"/>
        </w:rPr>
        <w:t>％。从评价情况来看，</w:t>
      </w:r>
      <w:r>
        <w:rPr>
          <w:rFonts w:hint="eastAsia" w:ascii="仿宋" w:hAnsi="仿宋" w:eastAsia="仿宋" w:cs="仿宋"/>
          <w:color w:val="auto"/>
          <w:sz w:val="32"/>
          <w:szCs w:val="32"/>
          <w:highlight w:val="none"/>
          <w:shd w:val="clear" w:color="auto" w:fill="FFFFFF"/>
          <w:lang w:val="en-US" w:eastAsia="zh-CN"/>
        </w:rPr>
        <w:t>2022年较好地完成了各项项目支出绩效目标</w:t>
      </w:r>
      <w:r>
        <w:rPr>
          <w:rFonts w:hint="eastAsia" w:ascii="仿宋_GB2312" w:hAnsi="仿宋" w:eastAsia="仿宋_GB2312" w:cs="仿宋"/>
          <w:szCs w:val="32"/>
        </w:rPr>
        <w:t>。</w:t>
      </w:r>
    </w:p>
    <w:p>
      <w:pPr>
        <w:ind w:firstLine="640" w:firstLineChars="200"/>
        <w:jc w:val="both"/>
        <w:rPr>
          <w:rFonts w:hint="eastAsia" w:ascii="仿宋" w:hAnsi="仿宋" w:eastAsia="仿宋" w:cs="仿宋"/>
          <w:color w:val="auto"/>
          <w:sz w:val="32"/>
          <w:szCs w:val="32"/>
          <w:highlight w:val="none"/>
          <w:shd w:val="clear" w:color="auto" w:fill="FFFFFF"/>
          <w:lang w:val="en-US" w:eastAsia="zh-CN"/>
        </w:rPr>
      </w:pPr>
      <w:r>
        <w:rPr>
          <w:rFonts w:hint="eastAsia" w:ascii="仿宋_GB2312" w:hAnsi="仿宋" w:eastAsia="仿宋_GB2312" w:cs="仿宋"/>
          <w:sz w:val="32"/>
          <w:szCs w:val="32"/>
        </w:rPr>
        <w:t>组织开展部门整体支出绩效评价，评价情况来看，</w:t>
      </w:r>
      <w:r>
        <w:rPr>
          <w:rFonts w:hint="eastAsia" w:ascii="仿宋" w:hAnsi="仿宋" w:eastAsia="仿宋" w:cs="仿宋"/>
          <w:color w:val="auto"/>
          <w:sz w:val="32"/>
          <w:szCs w:val="32"/>
          <w:highlight w:val="none"/>
          <w:shd w:val="clear" w:color="auto" w:fill="FFFFFF"/>
          <w:lang w:val="en-US" w:eastAsia="zh-CN"/>
        </w:rPr>
        <w:t>2022年本单位保证了日常工作的高效运转，实现了部门职能，有效实现了绩效目标。</w:t>
      </w:r>
    </w:p>
    <w:p>
      <w:pPr>
        <w:ind w:firstLine="640" w:firstLineChars="200"/>
        <w:jc w:val="both"/>
        <w:rPr>
          <w:rFonts w:hint="eastAsia" w:ascii="仿宋" w:hAnsi="仿宋" w:eastAsia="仿宋" w:cs="仿宋"/>
          <w:color w:val="auto"/>
          <w:kern w:val="0"/>
          <w:sz w:val="32"/>
          <w:szCs w:val="32"/>
          <w:highlight w:val="none"/>
          <w:shd w:val="clear" w:color="auto" w:fill="FFFFFF"/>
          <w:lang w:val="en-US" w:eastAsia="zh-CN" w:bidi="ar"/>
        </w:rPr>
      </w:pPr>
      <w:r>
        <w:rPr>
          <w:rFonts w:hint="eastAsia" w:ascii="仿宋" w:hAnsi="仿宋" w:eastAsia="仿宋" w:cs="仿宋"/>
          <w:color w:val="auto"/>
          <w:sz w:val="32"/>
          <w:szCs w:val="32"/>
          <w:highlight w:val="none"/>
          <w:shd w:val="clear" w:color="auto" w:fill="FFFFFF"/>
          <w:lang w:val="en-US" w:eastAsia="zh-CN"/>
        </w:rPr>
        <w:t>附：</w:t>
      </w:r>
      <w:r>
        <w:rPr>
          <w:rFonts w:hint="eastAsia" w:ascii="仿宋" w:hAnsi="仿宋" w:eastAsia="仿宋" w:cs="仿宋"/>
          <w:color w:val="auto"/>
          <w:kern w:val="0"/>
          <w:sz w:val="32"/>
          <w:szCs w:val="32"/>
          <w:highlight w:val="none"/>
          <w:shd w:val="clear" w:color="auto" w:fill="FFFFFF"/>
          <w:lang w:val="en-US" w:eastAsia="zh-CN" w:bidi="ar"/>
        </w:rPr>
        <w:t>2022年度市财政局部门整体绩效自评表</w:t>
      </w:r>
    </w:p>
    <w:tbl>
      <w:tblPr>
        <w:tblStyle w:val="7"/>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319"/>
        <w:gridCol w:w="1329"/>
        <w:gridCol w:w="1454"/>
        <w:gridCol w:w="660"/>
        <w:gridCol w:w="656"/>
        <w:gridCol w:w="3"/>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单位名称</w:t>
            </w:r>
          </w:p>
        </w:tc>
        <w:tc>
          <w:tcPr>
            <w:tcW w:w="7420" w:type="dxa"/>
            <w:gridSpan w:val="8"/>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黄石市财政局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基本支出总额</w:t>
            </w:r>
          </w:p>
        </w:tc>
        <w:tc>
          <w:tcPr>
            <w:tcW w:w="3770" w:type="dxa"/>
            <w:gridSpan w:val="3"/>
            <w:vAlign w:val="center"/>
          </w:tcPr>
          <w:p>
            <w:pPr>
              <w:widowControl/>
              <w:jc w:val="lef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xml:space="preserve"> 3423.86万元</w:t>
            </w:r>
          </w:p>
        </w:tc>
        <w:tc>
          <w:tcPr>
            <w:tcW w:w="2114"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项目支出总额</w:t>
            </w:r>
          </w:p>
        </w:tc>
        <w:tc>
          <w:tcPr>
            <w:tcW w:w="1536"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523.93万元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预算执行情况（万元）</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w:t>
            </w:r>
          </w:p>
        </w:tc>
        <w:tc>
          <w:tcPr>
            <w:tcW w:w="1122" w:type="dxa"/>
            <w:vAlign w:val="center"/>
          </w:tcPr>
          <w:p>
            <w:pPr>
              <w:widowControl/>
              <w:jc w:val="center"/>
              <w:rPr>
                <w:rFonts w:hint="eastAsia" w:ascii="仿宋" w:hAnsi="仿宋" w:eastAsia="仿宋" w:cs="仿宋"/>
                <w:color w:val="auto"/>
                <w:kern w:val="0"/>
                <w:sz w:val="32"/>
                <w:szCs w:val="32"/>
              </w:rPr>
            </w:pPr>
          </w:p>
        </w:tc>
        <w:tc>
          <w:tcPr>
            <w:tcW w:w="1319" w:type="dxa"/>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预算数（A）</w:t>
            </w:r>
          </w:p>
        </w:tc>
        <w:tc>
          <w:tcPr>
            <w:tcW w:w="1329" w:type="dxa"/>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执行数（B）</w:t>
            </w:r>
          </w:p>
        </w:tc>
        <w:tc>
          <w:tcPr>
            <w:tcW w:w="1454" w:type="dxa"/>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执行率（B/A）</w:t>
            </w:r>
          </w:p>
        </w:tc>
        <w:tc>
          <w:tcPr>
            <w:tcW w:w="2196" w:type="dxa"/>
            <w:gridSpan w:val="4"/>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Merge w:val="continue"/>
            <w:vAlign w:val="center"/>
          </w:tcPr>
          <w:p>
            <w:pPr>
              <w:widowControl/>
              <w:jc w:val="center"/>
              <w:rPr>
                <w:rFonts w:hint="eastAsia" w:ascii="仿宋" w:hAnsi="仿宋" w:eastAsia="仿宋" w:cs="仿宋"/>
                <w:color w:val="auto"/>
                <w:kern w:val="0"/>
                <w:sz w:val="32"/>
                <w:szCs w:val="32"/>
              </w:rPr>
            </w:pPr>
          </w:p>
        </w:tc>
        <w:tc>
          <w:tcPr>
            <w:tcW w:w="1122" w:type="dxa"/>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部门整体支出总额</w:t>
            </w:r>
          </w:p>
        </w:tc>
        <w:tc>
          <w:tcPr>
            <w:tcW w:w="1319"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4136.49万元</w:t>
            </w:r>
          </w:p>
        </w:tc>
        <w:tc>
          <w:tcPr>
            <w:tcW w:w="1329"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3947.78万元</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95.44%</w:t>
            </w:r>
          </w:p>
        </w:tc>
        <w:tc>
          <w:tcPr>
            <w:tcW w:w="2196" w:type="dxa"/>
            <w:gridSpan w:val="4"/>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年度目标1：（</w:t>
            </w:r>
            <w:r>
              <w:rPr>
                <w:rFonts w:hint="eastAsia" w:ascii="仿宋" w:hAnsi="仿宋" w:eastAsia="仿宋" w:cs="仿宋"/>
                <w:color w:val="auto"/>
                <w:kern w:val="0"/>
                <w:sz w:val="32"/>
                <w:szCs w:val="32"/>
                <w:lang w:val="en-US" w:eastAsia="zh-CN"/>
              </w:rPr>
              <w:t>20</w:t>
            </w:r>
            <w:r>
              <w:rPr>
                <w:rFonts w:hint="eastAsia" w:ascii="仿宋" w:hAnsi="仿宋" w:eastAsia="仿宋" w:cs="仿宋"/>
                <w:color w:val="auto"/>
                <w:kern w:val="0"/>
                <w:sz w:val="32"/>
                <w:szCs w:val="32"/>
              </w:rPr>
              <w:t>分）</w:t>
            </w:r>
          </w:p>
        </w:tc>
        <w:tc>
          <w:tcPr>
            <w:tcW w:w="7420" w:type="dxa"/>
            <w:gridSpan w:val="8"/>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按时发放干部职工工资福利及对个人和家庭补助支出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年度绩效指标</w:t>
            </w:r>
          </w:p>
        </w:tc>
        <w:tc>
          <w:tcPr>
            <w:tcW w:w="700" w:type="dxa"/>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一级指标</w:t>
            </w:r>
          </w:p>
        </w:tc>
        <w:tc>
          <w:tcPr>
            <w:tcW w:w="1122" w:type="dxa"/>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二级指标</w:t>
            </w:r>
          </w:p>
        </w:tc>
        <w:tc>
          <w:tcPr>
            <w:tcW w:w="264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三级指标</w:t>
            </w:r>
          </w:p>
        </w:tc>
        <w:tc>
          <w:tcPr>
            <w:tcW w:w="1454" w:type="dxa"/>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年初目标值（A）</w:t>
            </w:r>
          </w:p>
        </w:tc>
        <w:tc>
          <w:tcPr>
            <w:tcW w:w="1319" w:type="dxa"/>
            <w:gridSpan w:val="3"/>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实际完成值（B）</w:t>
            </w:r>
          </w:p>
        </w:tc>
        <w:tc>
          <w:tcPr>
            <w:tcW w:w="877" w:type="dxa"/>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产出指标</w:t>
            </w:r>
          </w:p>
        </w:tc>
        <w:tc>
          <w:tcPr>
            <w:tcW w:w="1122"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质量指标</w:t>
            </w:r>
          </w:p>
        </w:tc>
        <w:tc>
          <w:tcPr>
            <w:tcW w:w="2648"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工资按时发放</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次/月</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次/月</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时效指标</w:t>
            </w:r>
          </w:p>
        </w:tc>
        <w:tc>
          <w:tcPr>
            <w:tcW w:w="2648"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完成全局工资福利及家庭补助支出时限</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1年</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1年</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restart"/>
            <w:vAlign w:val="center"/>
          </w:tcPr>
          <w:p>
            <w:pPr>
              <w:widowControl/>
              <w:jc w:val="center"/>
              <w:rPr>
                <w:rFonts w:hint="eastAsia" w:ascii="仿宋" w:hAnsi="仿宋" w:eastAsia="仿宋" w:cs="仿宋"/>
                <w:color w:val="auto"/>
                <w:kern w:val="0"/>
                <w:sz w:val="32"/>
                <w:szCs w:val="32"/>
                <w:lang w:val="en-US" w:eastAsia="zh-CN"/>
              </w:rPr>
            </w:pPr>
          </w:p>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成本指标</w:t>
            </w:r>
          </w:p>
          <w:p>
            <w:pPr>
              <w:widowControl/>
              <w:jc w:val="center"/>
              <w:rPr>
                <w:rFonts w:hint="eastAsia" w:ascii="仿宋" w:hAnsi="仿宋" w:eastAsia="仿宋" w:cs="仿宋"/>
                <w:color w:val="auto"/>
                <w:kern w:val="0"/>
                <w:sz w:val="32"/>
                <w:szCs w:val="32"/>
                <w:lang w:val="en-US" w:eastAsia="zh-CN"/>
              </w:rPr>
            </w:pPr>
          </w:p>
        </w:tc>
        <w:tc>
          <w:tcPr>
            <w:tcW w:w="2648"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工资福利支出</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1662.02万元</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2656.83万元</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continue"/>
            <w:vAlign w:val="center"/>
          </w:tcPr>
          <w:p>
            <w:pPr>
              <w:widowControl/>
              <w:jc w:val="center"/>
              <w:rPr>
                <w:rFonts w:hint="eastAsia" w:ascii="仿宋" w:hAnsi="仿宋" w:eastAsia="仿宋" w:cs="仿宋"/>
                <w:color w:val="auto"/>
                <w:kern w:val="0"/>
                <w:sz w:val="32"/>
                <w:szCs w:val="32"/>
                <w:lang w:val="en-US" w:eastAsia="zh-CN"/>
              </w:rPr>
            </w:pPr>
          </w:p>
        </w:tc>
        <w:tc>
          <w:tcPr>
            <w:tcW w:w="2648"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对个人和家庭补助支出</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41.7万元</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379.52万元</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效益</w:t>
            </w:r>
            <w:r>
              <w:rPr>
                <w:rFonts w:hint="eastAsia" w:ascii="仿宋" w:hAnsi="仿宋" w:eastAsia="仿宋" w:cs="仿宋"/>
                <w:color w:val="auto"/>
                <w:kern w:val="0"/>
                <w:sz w:val="32"/>
                <w:szCs w:val="32"/>
              </w:rPr>
              <w:t>指标</w:t>
            </w:r>
          </w:p>
        </w:tc>
        <w:tc>
          <w:tcPr>
            <w:tcW w:w="1122"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经济效益指标</w:t>
            </w:r>
          </w:p>
        </w:tc>
        <w:tc>
          <w:tcPr>
            <w:tcW w:w="2648"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绩效、福利等按时发放到位</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eastAsia="zh-CN"/>
              </w:rPr>
              <w:t>满意度</w:t>
            </w:r>
            <w:r>
              <w:rPr>
                <w:rFonts w:hint="eastAsia" w:ascii="仿宋" w:hAnsi="仿宋" w:eastAsia="仿宋" w:cs="仿宋"/>
                <w:color w:val="auto"/>
                <w:kern w:val="0"/>
                <w:sz w:val="32"/>
                <w:szCs w:val="32"/>
                <w:lang w:val="en-US" w:eastAsia="zh-CN"/>
              </w:rPr>
              <w:t>指标</w:t>
            </w:r>
          </w:p>
        </w:tc>
        <w:tc>
          <w:tcPr>
            <w:tcW w:w="1122" w:type="dxa"/>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eastAsia="zh-CN"/>
              </w:rPr>
              <w:t>服务对象满意度指标</w:t>
            </w:r>
          </w:p>
        </w:tc>
        <w:tc>
          <w:tcPr>
            <w:tcW w:w="2648"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全局干部职工满意率</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≥95%</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100%</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年度绩效目标2（</w:t>
            </w:r>
            <w:r>
              <w:rPr>
                <w:rFonts w:hint="eastAsia" w:ascii="仿宋" w:hAnsi="仿宋" w:eastAsia="仿宋" w:cs="仿宋"/>
                <w:color w:val="auto"/>
                <w:kern w:val="0"/>
                <w:sz w:val="32"/>
                <w:szCs w:val="32"/>
                <w:lang w:val="en-US" w:eastAsia="zh-CN"/>
              </w:rPr>
              <w:t>20</w:t>
            </w:r>
            <w:r>
              <w:rPr>
                <w:rFonts w:hint="eastAsia" w:ascii="仿宋" w:hAnsi="仿宋" w:eastAsia="仿宋" w:cs="仿宋"/>
                <w:color w:val="auto"/>
                <w:kern w:val="0"/>
                <w:sz w:val="32"/>
                <w:szCs w:val="32"/>
              </w:rPr>
              <w:t>分）</w:t>
            </w:r>
          </w:p>
        </w:tc>
        <w:tc>
          <w:tcPr>
            <w:tcW w:w="7420" w:type="dxa"/>
            <w:gridSpan w:val="8"/>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保证全局正常公用开支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restart"/>
            <w:vAlign w:val="center"/>
          </w:tcPr>
          <w:p>
            <w:pPr>
              <w:widowControl/>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年度绩效指标</w:t>
            </w:r>
          </w:p>
        </w:tc>
        <w:tc>
          <w:tcPr>
            <w:tcW w:w="700"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一级指标</w:t>
            </w:r>
          </w:p>
        </w:tc>
        <w:tc>
          <w:tcPr>
            <w:tcW w:w="1122"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二级指标</w:t>
            </w:r>
          </w:p>
        </w:tc>
        <w:tc>
          <w:tcPr>
            <w:tcW w:w="2648"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三级指标</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年初目标值（A）</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实际完成值（B）</w:t>
            </w:r>
          </w:p>
        </w:tc>
        <w:tc>
          <w:tcPr>
            <w:tcW w:w="877" w:type="dxa"/>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产出指标</w:t>
            </w:r>
          </w:p>
        </w:tc>
        <w:tc>
          <w:tcPr>
            <w:tcW w:w="1122"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时效指标</w:t>
            </w:r>
          </w:p>
        </w:tc>
        <w:tc>
          <w:tcPr>
            <w:tcW w:w="2648"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全年</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1年</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1年</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成本指标</w:t>
            </w:r>
          </w:p>
        </w:tc>
        <w:tc>
          <w:tcPr>
            <w:tcW w:w="2648"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“三公经费”支出</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xml:space="preserve"> ≤22.8万元</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4.85万元</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效益指标</w:t>
            </w:r>
          </w:p>
        </w:tc>
        <w:tc>
          <w:tcPr>
            <w:tcW w:w="1122"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经济效益指标</w:t>
            </w:r>
          </w:p>
        </w:tc>
        <w:tc>
          <w:tcPr>
            <w:tcW w:w="2648" w:type="dxa"/>
            <w:gridSpan w:val="2"/>
            <w:vAlign w:val="center"/>
          </w:tcPr>
          <w:p>
            <w:pPr>
              <w:widowControl/>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更好地开展全局各项工作</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社会效益指标</w:t>
            </w:r>
          </w:p>
        </w:tc>
        <w:tc>
          <w:tcPr>
            <w:tcW w:w="2648" w:type="dxa"/>
            <w:gridSpan w:val="2"/>
            <w:vAlign w:val="center"/>
          </w:tcPr>
          <w:p>
            <w:pPr>
              <w:widowControl/>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保证财政工作正常运转</w:t>
            </w:r>
          </w:p>
        </w:tc>
        <w:tc>
          <w:tcPr>
            <w:tcW w:w="1454"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9" w:type="dxa"/>
            <w:gridSpan w:val="3"/>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77"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年度绩效目标</w:t>
            </w:r>
            <w:r>
              <w:rPr>
                <w:rFonts w:hint="eastAsia" w:ascii="仿宋" w:hAnsi="仿宋" w:eastAsia="仿宋" w:cs="仿宋"/>
                <w:color w:val="auto"/>
                <w:kern w:val="0"/>
                <w:sz w:val="32"/>
                <w:szCs w:val="32"/>
                <w:lang w:val="en-US" w:eastAsia="zh-CN"/>
              </w:rPr>
              <w:t>3</w:t>
            </w:r>
            <w:r>
              <w:rPr>
                <w:rFonts w:hint="eastAsia" w:ascii="仿宋" w:hAnsi="仿宋" w:eastAsia="仿宋" w:cs="仿宋"/>
                <w:color w:val="auto"/>
                <w:kern w:val="0"/>
                <w:sz w:val="32"/>
                <w:szCs w:val="32"/>
              </w:rPr>
              <w:t>（</w:t>
            </w:r>
            <w:r>
              <w:rPr>
                <w:rFonts w:hint="eastAsia" w:ascii="仿宋" w:hAnsi="仿宋" w:eastAsia="仿宋" w:cs="仿宋"/>
                <w:color w:val="auto"/>
                <w:kern w:val="0"/>
                <w:sz w:val="32"/>
                <w:szCs w:val="32"/>
                <w:lang w:val="en-US" w:eastAsia="zh-CN"/>
              </w:rPr>
              <w:t>10</w:t>
            </w:r>
            <w:r>
              <w:rPr>
                <w:rFonts w:hint="eastAsia" w:ascii="仿宋" w:hAnsi="仿宋" w:eastAsia="仿宋" w:cs="仿宋"/>
                <w:color w:val="auto"/>
                <w:kern w:val="0"/>
                <w:sz w:val="32"/>
                <w:szCs w:val="32"/>
              </w:rPr>
              <w:t>分）</w:t>
            </w:r>
          </w:p>
        </w:tc>
        <w:tc>
          <w:tcPr>
            <w:tcW w:w="7420" w:type="dxa"/>
            <w:gridSpan w:val="8"/>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加强绩效管理工作，提升绩效评价管理的水平和质量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年度绩效指标</w:t>
            </w:r>
          </w:p>
        </w:tc>
        <w:tc>
          <w:tcPr>
            <w:tcW w:w="700" w:type="dxa"/>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一级指标</w:t>
            </w:r>
          </w:p>
        </w:tc>
        <w:tc>
          <w:tcPr>
            <w:tcW w:w="1122" w:type="dxa"/>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二级指标</w:t>
            </w:r>
          </w:p>
        </w:tc>
        <w:tc>
          <w:tcPr>
            <w:tcW w:w="2648" w:type="dxa"/>
            <w:gridSpan w:val="2"/>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三级指标</w:t>
            </w:r>
          </w:p>
        </w:tc>
        <w:tc>
          <w:tcPr>
            <w:tcW w:w="1454" w:type="dxa"/>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年初目标值（A）</w:t>
            </w:r>
          </w:p>
        </w:tc>
        <w:tc>
          <w:tcPr>
            <w:tcW w:w="1316" w:type="dxa"/>
            <w:gridSpan w:val="2"/>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实际完成值（B）</w:t>
            </w:r>
          </w:p>
        </w:tc>
        <w:tc>
          <w:tcPr>
            <w:tcW w:w="880" w:type="dxa"/>
            <w:gridSpan w:val="2"/>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产出指标</w:t>
            </w:r>
          </w:p>
        </w:tc>
        <w:tc>
          <w:tcPr>
            <w:tcW w:w="1122" w:type="dxa"/>
            <w:vMerge w:val="restart"/>
            <w:vAlign w:val="center"/>
          </w:tcPr>
          <w:p>
            <w:pPr>
              <w:widowControl/>
              <w:jc w:val="both"/>
              <w:rPr>
                <w:rFonts w:hint="eastAsia" w:ascii="仿宋" w:hAnsi="仿宋" w:eastAsia="仿宋" w:cs="仿宋"/>
                <w:color w:val="auto"/>
                <w:kern w:val="0"/>
                <w:sz w:val="32"/>
                <w:szCs w:val="32"/>
                <w:lang w:val="en-US" w:eastAsia="zh-CN"/>
              </w:rPr>
            </w:pPr>
          </w:p>
          <w:p>
            <w:pPr>
              <w:widowControl/>
              <w:jc w:val="both"/>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数量指标</w:t>
            </w:r>
          </w:p>
          <w:p>
            <w:pPr>
              <w:widowControl/>
              <w:snapToGrid w:val="0"/>
              <w:jc w:val="center"/>
              <w:rPr>
                <w:rFonts w:hint="eastAsia" w:ascii="仿宋" w:hAnsi="仿宋" w:eastAsia="仿宋" w:cs="仿宋"/>
                <w:color w:val="auto"/>
                <w:kern w:val="0"/>
                <w:sz w:val="32"/>
                <w:szCs w:val="32"/>
                <w:lang w:val="en-US" w:eastAsia="zh-CN" w:bidi="ar-SA"/>
              </w:rPr>
            </w:pPr>
          </w:p>
        </w:tc>
        <w:tc>
          <w:tcPr>
            <w:tcW w:w="2648"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评价项目数</w:t>
            </w:r>
          </w:p>
        </w:tc>
        <w:tc>
          <w:tcPr>
            <w:tcW w:w="1454" w:type="dxa"/>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10个</w:t>
            </w:r>
          </w:p>
        </w:tc>
        <w:tc>
          <w:tcPr>
            <w:tcW w:w="1316"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14个</w:t>
            </w:r>
          </w:p>
        </w:tc>
        <w:tc>
          <w:tcPr>
            <w:tcW w:w="880"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lang w:val="en-US" w:eastAsia="zh-CN" w:bidi="ar-SA"/>
              </w:rPr>
            </w:pPr>
          </w:p>
        </w:tc>
        <w:tc>
          <w:tcPr>
            <w:tcW w:w="2648"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评价项目资金总量</w:t>
            </w:r>
          </w:p>
        </w:tc>
        <w:tc>
          <w:tcPr>
            <w:tcW w:w="1454" w:type="dxa"/>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10亿元</w:t>
            </w:r>
          </w:p>
        </w:tc>
        <w:tc>
          <w:tcPr>
            <w:tcW w:w="1316"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23.75</w:t>
            </w:r>
            <w:r>
              <w:rPr>
                <w:rFonts w:hint="eastAsia" w:ascii="仿宋" w:hAnsi="仿宋" w:eastAsia="仿宋" w:cs="仿宋"/>
                <w:color w:val="auto"/>
                <w:kern w:val="0"/>
                <w:sz w:val="32"/>
                <w:szCs w:val="32"/>
                <w:lang w:val="en-US" w:eastAsia="zh-CN" w:bidi="ar-SA"/>
              </w:rPr>
              <w:t>亿元</w:t>
            </w:r>
          </w:p>
        </w:tc>
        <w:tc>
          <w:tcPr>
            <w:tcW w:w="880"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eastAsia="zh-CN"/>
              </w:rPr>
              <w:t>质量指标</w:t>
            </w:r>
          </w:p>
        </w:tc>
        <w:tc>
          <w:tcPr>
            <w:tcW w:w="2648"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第三方绩效评价报告质量评审合格率</w:t>
            </w:r>
          </w:p>
        </w:tc>
        <w:tc>
          <w:tcPr>
            <w:tcW w:w="1454" w:type="dxa"/>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≥80%</w:t>
            </w:r>
          </w:p>
        </w:tc>
        <w:tc>
          <w:tcPr>
            <w:tcW w:w="1316"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86%</w:t>
            </w:r>
          </w:p>
        </w:tc>
        <w:tc>
          <w:tcPr>
            <w:tcW w:w="880"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成本指标</w:t>
            </w:r>
          </w:p>
        </w:tc>
        <w:tc>
          <w:tcPr>
            <w:tcW w:w="2648"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eastAsia="zh-CN"/>
              </w:rPr>
              <w:t>绩效</w:t>
            </w:r>
            <w:r>
              <w:rPr>
                <w:rFonts w:hint="eastAsia" w:ascii="仿宋" w:hAnsi="仿宋" w:eastAsia="仿宋" w:cs="仿宋"/>
                <w:color w:val="auto"/>
                <w:kern w:val="0"/>
                <w:sz w:val="32"/>
                <w:szCs w:val="32"/>
                <w:lang w:val="en-US" w:eastAsia="zh-CN"/>
              </w:rPr>
              <w:t>评价</w:t>
            </w:r>
            <w:r>
              <w:rPr>
                <w:rFonts w:hint="eastAsia" w:ascii="仿宋" w:hAnsi="仿宋" w:eastAsia="仿宋" w:cs="仿宋"/>
                <w:color w:val="auto"/>
                <w:kern w:val="0"/>
                <w:sz w:val="32"/>
                <w:szCs w:val="32"/>
                <w:lang w:eastAsia="zh-CN"/>
              </w:rPr>
              <w:t>管理工作</w:t>
            </w:r>
            <w:r>
              <w:rPr>
                <w:rFonts w:hint="eastAsia" w:ascii="仿宋" w:hAnsi="仿宋" w:eastAsia="仿宋" w:cs="仿宋"/>
                <w:color w:val="auto"/>
                <w:kern w:val="0"/>
                <w:sz w:val="32"/>
                <w:szCs w:val="32"/>
                <w:lang w:val="en-US" w:eastAsia="zh-CN"/>
              </w:rPr>
              <w:t>经费</w:t>
            </w:r>
            <w:r>
              <w:rPr>
                <w:rFonts w:hint="eastAsia" w:ascii="仿宋" w:hAnsi="仿宋" w:eastAsia="仿宋" w:cs="仿宋"/>
                <w:color w:val="auto"/>
                <w:kern w:val="0"/>
                <w:sz w:val="32"/>
                <w:szCs w:val="32"/>
              </w:rPr>
              <w:t>　</w:t>
            </w:r>
          </w:p>
        </w:tc>
        <w:tc>
          <w:tcPr>
            <w:tcW w:w="1454"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≤8万元</w:t>
            </w:r>
          </w:p>
        </w:tc>
        <w:tc>
          <w:tcPr>
            <w:tcW w:w="1316"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5.37万元</w:t>
            </w:r>
          </w:p>
        </w:tc>
        <w:tc>
          <w:tcPr>
            <w:tcW w:w="880"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时效指标</w:t>
            </w:r>
          </w:p>
        </w:tc>
        <w:tc>
          <w:tcPr>
            <w:tcW w:w="2648"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开展绩效评价工作时限</w:t>
            </w:r>
          </w:p>
        </w:tc>
        <w:tc>
          <w:tcPr>
            <w:tcW w:w="1454"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1年</w:t>
            </w:r>
          </w:p>
        </w:tc>
        <w:tc>
          <w:tcPr>
            <w:tcW w:w="1316"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1年</w:t>
            </w:r>
          </w:p>
        </w:tc>
        <w:tc>
          <w:tcPr>
            <w:tcW w:w="880"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效益指标</w:t>
            </w:r>
          </w:p>
        </w:tc>
        <w:tc>
          <w:tcPr>
            <w:tcW w:w="1122" w:type="dxa"/>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经济</w:t>
            </w:r>
            <w:r>
              <w:rPr>
                <w:rFonts w:hint="eastAsia" w:ascii="仿宋" w:hAnsi="仿宋" w:eastAsia="仿宋" w:cs="仿宋"/>
                <w:color w:val="auto"/>
                <w:kern w:val="0"/>
                <w:sz w:val="32"/>
                <w:szCs w:val="32"/>
                <w:lang w:eastAsia="zh-CN"/>
              </w:rPr>
              <w:t>效益</w:t>
            </w:r>
            <w:r>
              <w:rPr>
                <w:rFonts w:hint="eastAsia" w:ascii="仿宋" w:hAnsi="仿宋" w:eastAsia="仿宋" w:cs="仿宋"/>
                <w:color w:val="auto"/>
                <w:kern w:val="0"/>
                <w:sz w:val="32"/>
                <w:szCs w:val="32"/>
                <w:lang w:val="en-US" w:eastAsia="zh-CN"/>
              </w:rPr>
              <w:t>指标</w:t>
            </w:r>
          </w:p>
        </w:tc>
        <w:tc>
          <w:tcPr>
            <w:tcW w:w="2648"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优化项目资金使用结构，提升项目资金使用效益</w:t>
            </w:r>
          </w:p>
        </w:tc>
        <w:tc>
          <w:tcPr>
            <w:tcW w:w="1454" w:type="dxa"/>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1316"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880"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restart"/>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社会效益指标</w:t>
            </w:r>
          </w:p>
        </w:tc>
        <w:tc>
          <w:tcPr>
            <w:tcW w:w="2648"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提高各级预算单位绩效管理工作意识和业务管理水平</w:t>
            </w:r>
          </w:p>
        </w:tc>
        <w:tc>
          <w:tcPr>
            <w:tcW w:w="1454"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6"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80"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lang w:val="en-US" w:eastAsia="zh-CN" w:bidi="ar-SA"/>
              </w:rPr>
            </w:pPr>
          </w:p>
        </w:tc>
        <w:tc>
          <w:tcPr>
            <w:tcW w:w="2648"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促进各部门提升绩效管理理念</w:t>
            </w:r>
          </w:p>
        </w:tc>
        <w:tc>
          <w:tcPr>
            <w:tcW w:w="1454" w:type="dxa"/>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1316" w:type="dxa"/>
            <w:gridSpan w:val="2"/>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880" w:type="dxa"/>
            <w:gridSpan w:val="2"/>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年度绩效目标</w:t>
            </w:r>
            <w:r>
              <w:rPr>
                <w:rFonts w:hint="eastAsia" w:ascii="仿宋" w:hAnsi="仿宋" w:eastAsia="仿宋" w:cs="仿宋"/>
                <w:color w:val="auto"/>
                <w:kern w:val="0"/>
                <w:sz w:val="32"/>
                <w:szCs w:val="32"/>
                <w:lang w:val="en-US" w:eastAsia="zh-CN"/>
              </w:rPr>
              <w:t>4</w:t>
            </w:r>
            <w:r>
              <w:rPr>
                <w:rFonts w:hint="eastAsia" w:ascii="仿宋" w:hAnsi="仿宋" w:eastAsia="仿宋" w:cs="仿宋"/>
                <w:color w:val="auto"/>
                <w:kern w:val="0"/>
                <w:sz w:val="32"/>
                <w:szCs w:val="32"/>
              </w:rPr>
              <w:t>（</w:t>
            </w:r>
            <w:r>
              <w:rPr>
                <w:rFonts w:hint="eastAsia" w:ascii="仿宋" w:hAnsi="仿宋" w:eastAsia="仿宋" w:cs="仿宋"/>
                <w:color w:val="auto"/>
                <w:kern w:val="0"/>
                <w:sz w:val="32"/>
                <w:szCs w:val="32"/>
                <w:lang w:val="en-US" w:eastAsia="zh-CN"/>
              </w:rPr>
              <w:t>10</w:t>
            </w:r>
            <w:r>
              <w:rPr>
                <w:rFonts w:hint="eastAsia" w:ascii="仿宋" w:hAnsi="仿宋" w:eastAsia="仿宋" w:cs="仿宋"/>
                <w:color w:val="auto"/>
                <w:kern w:val="0"/>
                <w:sz w:val="32"/>
                <w:szCs w:val="32"/>
              </w:rPr>
              <w:t>分）</w:t>
            </w:r>
          </w:p>
        </w:tc>
        <w:tc>
          <w:tcPr>
            <w:tcW w:w="7420" w:type="dxa"/>
            <w:gridSpan w:val="8"/>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办公环境整洁明亮，全年不发生安全事故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年度绩效指标</w:t>
            </w:r>
          </w:p>
        </w:tc>
        <w:tc>
          <w:tcPr>
            <w:tcW w:w="700" w:type="dxa"/>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一级指标</w:t>
            </w:r>
          </w:p>
        </w:tc>
        <w:tc>
          <w:tcPr>
            <w:tcW w:w="112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二级指标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三级指标</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年初目标值（A）</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实际完成值（B）</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产出指标</w:t>
            </w:r>
          </w:p>
        </w:tc>
        <w:tc>
          <w:tcPr>
            <w:tcW w:w="1122" w:type="dxa"/>
            <w:vMerge w:val="restart"/>
            <w:tcBorders>
              <w:top w:val="single" w:color="auto" w:sz="4" w:space="0"/>
              <w:left w:val="single" w:color="auto" w:sz="4" w:space="0"/>
              <w:right w:val="single" w:color="auto" w:sz="4" w:space="0"/>
            </w:tcBorders>
            <w:vAlign w:val="center"/>
          </w:tcPr>
          <w:p>
            <w:pPr>
              <w:widowControl/>
              <w:jc w:val="both"/>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数量指标</w:t>
            </w:r>
          </w:p>
          <w:p>
            <w:pPr>
              <w:widowControl/>
              <w:jc w:val="center"/>
              <w:rPr>
                <w:rFonts w:hint="eastAsia" w:ascii="仿宋" w:hAnsi="仿宋" w:eastAsia="仿宋" w:cs="仿宋"/>
                <w:color w:val="auto"/>
                <w:kern w:val="0"/>
                <w:sz w:val="32"/>
                <w:szCs w:val="32"/>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设置保安门岗</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4个</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4个</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continue"/>
            <w:tcBorders>
              <w:left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巡逻频次（天）</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12次</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12次</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continue"/>
            <w:tcBorders>
              <w:left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夜间当班人员</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5人</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5人</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continue"/>
            <w:tcBorders>
              <w:left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白天当班人员</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5人</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5人</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continue"/>
            <w:tcBorders>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每日应急电话保持通话时间（小时）</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24小时</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24小时</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restart"/>
            <w:tcBorders>
              <w:top w:val="single" w:color="auto" w:sz="4" w:space="0"/>
              <w:left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质量指标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保洁工作抽查合格率</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≥95%</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100%</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vMerge w:val="continue"/>
            <w:tcBorders>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安保工作抽查合格率</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100%</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100%</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tcBorders>
              <w:top w:val="single" w:color="auto" w:sz="4" w:space="0"/>
              <w:left w:val="single" w:color="auto" w:sz="4" w:space="0"/>
              <w:bottom w:val="single" w:color="auto" w:sz="4" w:space="0"/>
              <w:right w:val="single" w:color="auto" w:sz="4" w:space="0"/>
            </w:tcBorders>
            <w:vAlign w:val="center"/>
          </w:tcPr>
          <w:p>
            <w:pPr>
              <w:widowControl/>
              <w:snapToGrid w:val="0"/>
              <w:jc w:val="both"/>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成本指标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物业服务费用</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≤100万元</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93.85万元</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效益指标</w:t>
            </w:r>
          </w:p>
        </w:tc>
        <w:tc>
          <w:tcPr>
            <w:tcW w:w="112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社会效益指标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提升机关服务形象</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基本达标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rPr>
            </w:pPr>
          </w:p>
        </w:tc>
        <w:tc>
          <w:tcPr>
            <w:tcW w:w="112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环境效益指标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优化机关办公环境</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基本达标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满意度</w:t>
            </w:r>
            <w:r>
              <w:rPr>
                <w:rFonts w:hint="eastAsia" w:ascii="仿宋" w:hAnsi="仿宋" w:eastAsia="仿宋" w:cs="仿宋"/>
                <w:color w:val="auto"/>
                <w:kern w:val="0"/>
                <w:sz w:val="32"/>
                <w:szCs w:val="32"/>
                <w:lang w:val="en-US" w:eastAsia="zh-CN"/>
              </w:rPr>
              <w:t>指标</w:t>
            </w:r>
          </w:p>
        </w:tc>
        <w:tc>
          <w:tcPr>
            <w:tcW w:w="112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eastAsia="zh-CN"/>
              </w:rPr>
              <w:t>服务对象满意度指标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服务对象对办公区域管理服务满意度</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≥98%</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100%</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年度绩效目标</w:t>
            </w:r>
            <w:r>
              <w:rPr>
                <w:rFonts w:hint="eastAsia" w:ascii="仿宋" w:hAnsi="仿宋" w:eastAsia="仿宋" w:cs="仿宋"/>
                <w:color w:val="auto"/>
                <w:kern w:val="0"/>
                <w:sz w:val="32"/>
                <w:szCs w:val="32"/>
                <w:lang w:val="en-US" w:eastAsia="zh-CN"/>
              </w:rPr>
              <w:t>5</w:t>
            </w:r>
            <w:r>
              <w:rPr>
                <w:rFonts w:hint="eastAsia" w:ascii="仿宋" w:hAnsi="仿宋" w:eastAsia="仿宋" w:cs="仿宋"/>
                <w:color w:val="auto"/>
                <w:kern w:val="0"/>
                <w:sz w:val="32"/>
                <w:szCs w:val="32"/>
              </w:rPr>
              <w:t>（</w:t>
            </w:r>
            <w:r>
              <w:rPr>
                <w:rFonts w:hint="eastAsia" w:ascii="仿宋" w:hAnsi="仿宋" w:eastAsia="仿宋" w:cs="仿宋"/>
                <w:color w:val="auto"/>
                <w:kern w:val="0"/>
                <w:sz w:val="32"/>
                <w:szCs w:val="32"/>
                <w:lang w:val="en-US" w:eastAsia="zh-CN"/>
              </w:rPr>
              <w:t>10</w:t>
            </w:r>
            <w:r>
              <w:rPr>
                <w:rFonts w:hint="eastAsia" w:ascii="仿宋" w:hAnsi="仿宋" w:eastAsia="仿宋" w:cs="仿宋"/>
                <w:color w:val="auto"/>
                <w:kern w:val="0"/>
                <w:sz w:val="32"/>
                <w:szCs w:val="32"/>
              </w:rPr>
              <w:t>分）</w:t>
            </w:r>
          </w:p>
        </w:tc>
        <w:tc>
          <w:tcPr>
            <w:tcW w:w="7420" w:type="dxa"/>
            <w:gridSpan w:val="8"/>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发挥财政监督的职能作用，进一步严肃财经纪律，规范财政管理，保资金安全。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restart"/>
            <w:vAlign w:val="center"/>
          </w:tcPr>
          <w:p>
            <w:pPr>
              <w:widowControl/>
              <w:jc w:val="center"/>
              <w:rPr>
                <w:rFonts w:hint="eastAsia" w:ascii="仿宋" w:hAnsi="仿宋" w:eastAsia="仿宋" w:cs="仿宋"/>
                <w:color w:val="auto"/>
                <w:kern w:val="0"/>
                <w:sz w:val="32"/>
                <w:szCs w:val="32"/>
                <w:lang w:val="en-US" w:eastAsia="zh-CN"/>
              </w:rPr>
            </w:pPr>
          </w:p>
          <w:p>
            <w:pPr>
              <w:widowControl/>
              <w:jc w:val="center"/>
              <w:rPr>
                <w:rFonts w:hint="eastAsia" w:ascii="仿宋" w:hAnsi="仿宋" w:eastAsia="仿宋" w:cs="仿宋"/>
                <w:color w:val="auto"/>
                <w:kern w:val="0"/>
                <w:sz w:val="32"/>
                <w:szCs w:val="32"/>
                <w:lang w:val="en-US" w:eastAsia="zh-CN"/>
              </w:rPr>
            </w:pPr>
          </w:p>
          <w:p>
            <w:pPr>
              <w:widowControl/>
              <w:jc w:val="center"/>
              <w:rPr>
                <w:rFonts w:hint="eastAsia" w:ascii="仿宋" w:hAnsi="仿宋" w:eastAsia="仿宋" w:cs="仿宋"/>
                <w:color w:val="auto"/>
                <w:kern w:val="0"/>
                <w:sz w:val="32"/>
                <w:szCs w:val="32"/>
                <w:lang w:val="en-US" w:eastAsia="zh-CN"/>
              </w:rPr>
            </w:pPr>
          </w:p>
          <w:p>
            <w:pPr>
              <w:widowControl/>
              <w:jc w:val="center"/>
              <w:rPr>
                <w:rFonts w:hint="eastAsia" w:ascii="仿宋" w:hAnsi="仿宋" w:eastAsia="仿宋" w:cs="仿宋"/>
                <w:color w:val="auto"/>
                <w:kern w:val="0"/>
                <w:sz w:val="32"/>
                <w:szCs w:val="32"/>
                <w:lang w:val="en-US" w:eastAsia="zh-CN"/>
              </w:rPr>
            </w:pPr>
          </w:p>
          <w:p>
            <w:pPr>
              <w:widowControl/>
              <w:jc w:val="center"/>
              <w:rPr>
                <w:rFonts w:hint="eastAsia" w:ascii="仿宋" w:hAnsi="仿宋" w:eastAsia="仿宋" w:cs="仿宋"/>
                <w:color w:val="auto"/>
                <w:kern w:val="0"/>
                <w:sz w:val="32"/>
                <w:szCs w:val="32"/>
                <w:lang w:val="en-US" w:eastAsia="zh-CN"/>
              </w:rPr>
            </w:pPr>
          </w:p>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年度绩效指标</w:t>
            </w:r>
          </w:p>
        </w:tc>
        <w:tc>
          <w:tcPr>
            <w:tcW w:w="700" w:type="dxa"/>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一级指标</w:t>
            </w:r>
          </w:p>
        </w:tc>
        <w:tc>
          <w:tcPr>
            <w:tcW w:w="112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二级指标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三级指标</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年初目标值（A）</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实际完成值（B）</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产出指标</w:t>
            </w:r>
          </w:p>
        </w:tc>
        <w:tc>
          <w:tcPr>
            <w:tcW w:w="112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数量指标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监督检查单位数</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60家</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94家</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质量指标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促进财政监督工作规范化</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时效指标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完成2022年度检查任务</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一年内</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一年内</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成本指标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财政监督检查工作经费</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≤9万元</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6.38万元</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效益指标</w:t>
            </w:r>
          </w:p>
        </w:tc>
        <w:tc>
          <w:tcPr>
            <w:tcW w:w="112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经济效益指标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sz w:val="32"/>
                <w:szCs w:val="32"/>
                <w:lang w:val="en-US" w:eastAsia="zh-CN"/>
              </w:rPr>
              <w:t>规范财务管理，确保财政资金规范、安全、高效运行</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vMerge w:val="restart"/>
            <w:tcBorders>
              <w:top w:val="single" w:color="auto" w:sz="4" w:space="0"/>
              <w:left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社会效益指标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全市预算单位财经纪律明显好转</w:t>
            </w:r>
          </w:p>
        </w:tc>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vMerge w:val="continue"/>
            <w:tcBorders>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提高全市预算单位财务规范意识</w:t>
            </w:r>
          </w:p>
        </w:tc>
        <w:tc>
          <w:tcPr>
            <w:tcW w:w="14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528" w:type="dxa"/>
            <w:gridSpan w:val="2"/>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年度绩效目标</w:t>
            </w:r>
            <w:r>
              <w:rPr>
                <w:rFonts w:hint="eastAsia" w:ascii="仿宋" w:hAnsi="仿宋" w:eastAsia="仿宋" w:cs="仿宋"/>
                <w:color w:val="auto"/>
                <w:kern w:val="0"/>
                <w:sz w:val="32"/>
                <w:szCs w:val="32"/>
                <w:lang w:val="en-US" w:eastAsia="zh-CN"/>
              </w:rPr>
              <w:t>6</w:t>
            </w:r>
            <w:r>
              <w:rPr>
                <w:rFonts w:hint="eastAsia" w:ascii="仿宋" w:hAnsi="仿宋" w:eastAsia="仿宋" w:cs="仿宋"/>
                <w:color w:val="auto"/>
                <w:kern w:val="0"/>
                <w:sz w:val="32"/>
                <w:szCs w:val="32"/>
              </w:rPr>
              <w:t>（</w:t>
            </w:r>
            <w:r>
              <w:rPr>
                <w:rFonts w:hint="eastAsia" w:ascii="仿宋" w:hAnsi="仿宋" w:eastAsia="仿宋" w:cs="仿宋"/>
                <w:color w:val="auto"/>
                <w:kern w:val="0"/>
                <w:sz w:val="32"/>
                <w:szCs w:val="32"/>
                <w:lang w:val="en-US" w:eastAsia="zh-CN"/>
              </w:rPr>
              <w:t>10</w:t>
            </w:r>
            <w:r>
              <w:rPr>
                <w:rFonts w:hint="eastAsia" w:ascii="仿宋" w:hAnsi="仿宋" w:eastAsia="仿宋" w:cs="仿宋"/>
                <w:color w:val="auto"/>
                <w:kern w:val="0"/>
                <w:sz w:val="32"/>
                <w:szCs w:val="32"/>
              </w:rPr>
              <w:t>分）</w:t>
            </w:r>
          </w:p>
        </w:tc>
        <w:tc>
          <w:tcPr>
            <w:tcW w:w="7420" w:type="dxa"/>
            <w:gridSpan w:val="8"/>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促进政府采购电子商城持续稳定运行，提高采购绩效，完善政府采购交易机制。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restart"/>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年度绩效指标</w:t>
            </w:r>
          </w:p>
        </w:tc>
        <w:tc>
          <w:tcPr>
            <w:tcW w:w="700" w:type="dxa"/>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一级指标</w:t>
            </w:r>
          </w:p>
        </w:tc>
        <w:tc>
          <w:tcPr>
            <w:tcW w:w="112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二级指标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三级指标</w:t>
            </w:r>
          </w:p>
        </w:tc>
        <w:tc>
          <w:tcPr>
            <w:tcW w:w="14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年初目标值（A）</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实际完成值（B）</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产出指标</w:t>
            </w:r>
          </w:p>
        </w:tc>
        <w:tc>
          <w:tcPr>
            <w:tcW w:w="1122"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数量指标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政府采购成交总金额</w:t>
            </w:r>
          </w:p>
        </w:tc>
        <w:tc>
          <w:tcPr>
            <w:tcW w:w="14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 xml:space="preserve"> ≥5亿元</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6.7</w:t>
            </w:r>
            <w:r>
              <w:rPr>
                <w:rFonts w:hint="eastAsia" w:ascii="仿宋" w:hAnsi="仿宋" w:eastAsia="仿宋" w:cs="仿宋"/>
                <w:color w:val="auto"/>
                <w:kern w:val="0"/>
                <w:sz w:val="32"/>
                <w:szCs w:val="32"/>
                <w:lang w:val="en-US" w:eastAsia="zh-CN" w:bidi="ar-SA"/>
              </w:rPr>
              <w:t>亿元</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成本指标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政府采购业务及政府采购电子商城购买服务经费</w:t>
            </w:r>
          </w:p>
        </w:tc>
        <w:tc>
          <w:tcPr>
            <w:tcW w:w="14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≤32万元</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31.01万元</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质量指标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abs>
                <w:tab w:val="left" w:pos="476"/>
              </w:tabs>
              <w:ind w:firstLine="320" w:firstLineChars="100"/>
              <w:jc w:val="left"/>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政府采购工作顺利推进</w:t>
            </w:r>
          </w:p>
        </w:tc>
        <w:tc>
          <w:tcPr>
            <w:tcW w:w="14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vMerge w:val="continue"/>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政府采购电子商城平稳运行</w:t>
            </w:r>
          </w:p>
        </w:tc>
        <w:tc>
          <w:tcPr>
            <w:tcW w:w="14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restart"/>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效益指标</w:t>
            </w:r>
          </w:p>
        </w:tc>
        <w:tc>
          <w:tcPr>
            <w:tcW w:w="1122"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经济效益</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资金节约率</w:t>
            </w:r>
          </w:p>
        </w:tc>
        <w:tc>
          <w:tcPr>
            <w:tcW w:w="14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≧8%</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8.2%</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val="en-US" w:eastAsia="zh-CN"/>
              </w:rPr>
            </w:pPr>
          </w:p>
        </w:tc>
        <w:tc>
          <w:tcPr>
            <w:tcW w:w="1122" w:type="dxa"/>
            <w:vMerge w:val="continue"/>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rPr>
              <w:t>提高财政资金使用效益</w:t>
            </w:r>
          </w:p>
        </w:tc>
        <w:tc>
          <w:tcPr>
            <w:tcW w:w="14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社会效益</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促进中小企业发展</w:t>
            </w:r>
          </w:p>
        </w:tc>
        <w:tc>
          <w:tcPr>
            <w:tcW w:w="14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Merge w:val="continue"/>
            <w:vAlign w:val="center"/>
          </w:tcPr>
          <w:p>
            <w:pPr>
              <w:widowControl/>
              <w:jc w:val="center"/>
              <w:rPr>
                <w:rFonts w:hint="eastAsia" w:ascii="仿宋" w:hAnsi="仿宋" w:eastAsia="仿宋" w:cs="仿宋"/>
                <w:color w:val="auto"/>
                <w:kern w:val="0"/>
                <w:sz w:val="32"/>
                <w:szCs w:val="32"/>
                <w:lang w:eastAsia="zh-CN"/>
              </w:rPr>
            </w:pPr>
          </w:p>
        </w:tc>
        <w:tc>
          <w:tcPr>
            <w:tcW w:w="1122" w:type="dxa"/>
            <w:tcBorders>
              <w:top w:val="single" w:color="auto" w:sz="4" w:space="0"/>
              <w:left w:val="single" w:color="auto" w:sz="4" w:space="0"/>
              <w:right w:val="single" w:color="auto" w:sz="4" w:space="0"/>
            </w:tcBorders>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环境效益指标</w:t>
            </w:r>
          </w:p>
        </w:tc>
        <w:tc>
          <w:tcPr>
            <w:tcW w:w="26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促进节能环保</w:t>
            </w:r>
          </w:p>
        </w:tc>
        <w:tc>
          <w:tcPr>
            <w:tcW w:w="14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eastAsia="zh-CN"/>
              </w:rPr>
              <w:t>基本达标</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8" w:hRule="atLeast"/>
          <w:jc w:val="center"/>
        </w:trPr>
        <w:tc>
          <w:tcPr>
            <w:tcW w:w="828" w:type="dxa"/>
            <w:vMerge w:val="continue"/>
            <w:vAlign w:val="center"/>
          </w:tcPr>
          <w:p>
            <w:pPr>
              <w:widowControl/>
              <w:jc w:val="center"/>
              <w:rPr>
                <w:rFonts w:hint="eastAsia" w:ascii="仿宋" w:hAnsi="仿宋" w:eastAsia="仿宋" w:cs="仿宋"/>
                <w:color w:val="auto"/>
                <w:kern w:val="0"/>
                <w:sz w:val="32"/>
                <w:szCs w:val="32"/>
              </w:rPr>
            </w:pPr>
          </w:p>
        </w:tc>
        <w:tc>
          <w:tcPr>
            <w:tcW w:w="700" w:type="dxa"/>
            <w:vAlign w:val="center"/>
          </w:tcPr>
          <w:p>
            <w:pPr>
              <w:widowControl/>
              <w:snapToGrid w:val="0"/>
              <w:jc w:val="center"/>
              <w:rPr>
                <w:rFonts w:hint="eastAsia" w:ascii="仿宋" w:hAnsi="仿宋" w:eastAsia="仿宋" w:cs="仿宋"/>
                <w:color w:val="auto"/>
                <w:kern w:val="0"/>
                <w:sz w:val="32"/>
                <w:szCs w:val="32"/>
                <w:lang w:val="en-US" w:eastAsia="zh-CN"/>
              </w:rPr>
            </w:pPr>
          </w:p>
          <w:p>
            <w:pPr>
              <w:widowControl/>
              <w:snapToGrid w:val="0"/>
              <w:jc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满意度</w:t>
            </w:r>
            <w:r>
              <w:rPr>
                <w:rFonts w:hint="eastAsia" w:ascii="仿宋" w:hAnsi="仿宋" w:eastAsia="仿宋" w:cs="仿宋"/>
                <w:color w:val="auto"/>
                <w:kern w:val="0"/>
                <w:sz w:val="32"/>
                <w:szCs w:val="32"/>
                <w:lang w:eastAsia="zh-CN"/>
              </w:rPr>
              <w:t>指标</w:t>
            </w:r>
          </w:p>
          <w:p>
            <w:pPr>
              <w:widowControl/>
              <w:jc w:val="center"/>
              <w:rPr>
                <w:rFonts w:hint="eastAsia" w:ascii="仿宋" w:hAnsi="仿宋" w:eastAsia="仿宋" w:cs="仿宋"/>
                <w:color w:val="auto"/>
                <w:kern w:val="0"/>
                <w:sz w:val="32"/>
                <w:szCs w:val="32"/>
                <w:lang w:eastAsia="zh-CN"/>
              </w:rPr>
            </w:pPr>
          </w:p>
        </w:tc>
        <w:tc>
          <w:tcPr>
            <w:tcW w:w="1122" w:type="dxa"/>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p>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服务对象满意度指标</w:t>
            </w:r>
          </w:p>
          <w:p>
            <w:pPr>
              <w:widowControl/>
              <w:snapToGrid w:val="0"/>
              <w:jc w:val="center"/>
              <w:rPr>
                <w:rFonts w:hint="eastAsia" w:ascii="仿宋" w:hAnsi="仿宋" w:eastAsia="仿宋" w:cs="仿宋"/>
                <w:color w:val="auto"/>
                <w:kern w:val="0"/>
                <w:sz w:val="32"/>
                <w:szCs w:val="32"/>
                <w:lang w:val="en-US" w:eastAsia="zh-CN"/>
              </w:rPr>
            </w:pPr>
          </w:p>
        </w:tc>
        <w:tc>
          <w:tcPr>
            <w:tcW w:w="264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服务对象对政府采购流程公开透明、政府采购结果公平公正的满意度</w:t>
            </w:r>
          </w:p>
        </w:tc>
        <w:tc>
          <w:tcPr>
            <w:tcW w:w="145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＞95%</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rPr>
              <w:t>100%</w:t>
            </w:r>
          </w:p>
        </w:tc>
        <w:tc>
          <w:tcPr>
            <w:tcW w:w="8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28" w:type="dxa"/>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总分</w:t>
            </w:r>
          </w:p>
        </w:tc>
        <w:tc>
          <w:tcPr>
            <w:tcW w:w="8120" w:type="dxa"/>
            <w:gridSpan w:val="9"/>
            <w:tcBorders>
              <w:right w:val="single" w:color="auto" w:sz="4" w:space="0"/>
            </w:tcBorders>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94.19分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0" w:hRule="atLeast"/>
          <w:jc w:val="center"/>
        </w:trPr>
        <w:tc>
          <w:tcPr>
            <w:tcW w:w="1528" w:type="dxa"/>
            <w:gridSpan w:val="2"/>
            <w:vAlign w:val="center"/>
          </w:tcPr>
          <w:p>
            <w:pPr>
              <w:widowControl/>
              <w:jc w:val="center"/>
              <w:rPr>
                <w:rFonts w:hint="eastAsia" w:ascii="仿宋" w:hAnsi="仿宋" w:eastAsia="仿宋" w:cs="仿宋"/>
                <w:color w:val="auto"/>
                <w:kern w:val="0"/>
              </w:rPr>
            </w:pPr>
            <w:r>
              <w:rPr>
                <w:rFonts w:hint="eastAsia" w:ascii="仿宋" w:hAnsi="仿宋" w:eastAsia="仿宋" w:cs="仿宋"/>
                <w:color w:val="auto"/>
                <w:kern w:val="0"/>
              </w:rPr>
              <w:t>偏差大或</w:t>
            </w:r>
          </w:p>
          <w:p>
            <w:pPr>
              <w:widowControl/>
              <w:jc w:val="center"/>
              <w:rPr>
                <w:rFonts w:hint="eastAsia" w:ascii="仿宋" w:hAnsi="仿宋" w:eastAsia="仿宋" w:cs="仿宋"/>
                <w:color w:val="auto"/>
                <w:kern w:val="0"/>
              </w:rPr>
            </w:pPr>
            <w:r>
              <w:rPr>
                <w:rFonts w:hint="eastAsia" w:ascii="仿宋" w:hAnsi="仿宋" w:eastAsia="仿宋" w:cs="仿宋"/>
                <w:color w:val="auto"/>
                <w:kern w:val="0"/>
              </w:rPr>
              <w:t>目标未完成</w:t>
            </w:r>
          </w:p>
          <w:p>
            <w:pPr>
              <w:widowControl/>
              <w:jc w:val="center"/>
              <w:rPr>
                <w:rFonts w:hint="eastAsia" w:ascii="仿宋" w:hAnsi="仿宋" w:eastAsia="仿宋" w:cs="仿宋"/>
                <w:color w:val="auto"/>
                <w:kern w:val="0"/>
              </w:rPr>
            </w:pPr>
            <w:r>
              <w:rPr>
                <w:rFonts w:hint="eastAsia" w:ascii="仿宋" w:hAnsi="仿宋" w:eastAsia="仿宋" w:cs="仿宋"/>
                <w:color w:val="auto"/>
                <w:kern w:val="0"/>
              </w:rPr>
              <w:t>原因分析</w:t>
            </w:r>
          </w:p>
        </w:tc>
        <w:tc>
          <w:tcPr>
            <w:tcW w:w="7420" w:type="dxa"/>
            <w:gridSpan w:val="8"/>
            <w:tcBorders>
              <w:top w:val="single" w:color="auto" w:sz="4" w:space="0"/>
              <w:left w:val="single" w:color="auto" w:sz="4" w:space="0"/>
              <w:bottom w:val="single" w:color="auto" w:sz="4" w:space="0"/>
              <w:right w:val="single" w:color="auto" w:sz="4" w:space="0"/>
            </w:tcBorders>
            <w:vAlign w:val="center"/>
          </w:tcPr>
          <w:p>
            <w:pPr>
              <w:widowControl/>
              <w:jc w:val="both"/>
              <w:rPr>
                <w:rFonts w:hint="eastAsia" w:ascii="仿宋" w:hAnsi="仿宋" w:eastAsia="仿宋" w:cs="仿宋"/>
                <w:color w:val="auto"/>
                <w:kern w:val="0"/>
                <w:lang w:val="en-US" w:eastAsia="zh-CN"/>
              </w:rPr>
            </w:pPr>
            <w:r>
              <w:rPr>
                <w:rFonts w:hint="eastAsia" w:ascii="仿宋" w:hAnsi="仿宋" w:eastAsia="仿宋" w:cs="仿宋"/>
                <w:color w:val="auto"/>
                <w:kern w:val="0"/>
                <w:lang w:val="en-US" w:eastAsia="zh-CN"/>
              </w:rPr>
              <w:t>年度目标1中成本指标偏差大的原因：由于津补贴改革，编制2022年预算时，在职人员绩效和退休人员统筹待遇暂未纳入其中，2022年出台并执行了新的津补贴方案，因此年初目标值小于实际完成值。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7" w:hRule="atLeast"/>
          <w:jc w:val="center"/>
        </w:trPr>
        <w:tc>
          <w:tcPr>
            <w:tcW w:w="1528" w:type="dxa"/>
            <w:gridSpan w:val="2"/>
            <w:vAlign w:val="center"/>
          </w:tcPr>
          <w:p>
            <w:pPr>
              <w:widowControl/>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改进措施及</w:t>
            </w:r>
          </w:p>
          <w:p>
            <w:pPr>
              <w:widowControl/>
              <w:jc w:val="center"/>
              <w:rPr>
                <w:rFonts w:ascii="仿宋_GB2312" w:hAnsi="宋体" w:eastAsia="仿宋_GB2312" w:cs="Times New Roman"/>
                <w:color w:val="auto"/>
                <w:kern w:val="0"/>
              </w:rPr>
            </w:pPr>
            <w:r>
              <w:rPr>
                <w:rFonts w:hint="eastAsia" w:ascii="仿宋_GB2312" w:hAnsi="宋体" w:eastAsia="仿宋_GB2312" w:cs="仿宋_GB2312"/>
                <w:color w:val="auto"/>
                <w:kern w:val="0"/>
              </w:rPr>
              <w:t>结果应用方案</w:t>
            </w:r>
          </w:p>
        </w:tc>
        <w:tc>
          <w:tcPr>
            <w:tcW w:w="7420" w:type="dxa"/>
            <w:gridSpan w:val="8"/>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宋体" w:eastAsia="仿宋_GB2312" w:cs="Times New Roman"/>
                <w:color w:val="auto"/>
                <w:kern w:val="0"/>
                <w:lang w:val="en-US" w:eastAsia="zh-CN"/>
              </w:rPr>
            </w:pPr>
            <w:r>
              <w:rPr>
                <w:rFonts w:hint="eastAsia" w:ascii="仿宋_GB2312" w:hAnsi="宋体" w:eastAsia="仿宋_GB2312" w:cs="Times New Roman"/>
                <w:color w:val="auto"/>
                <w:kern w:val="0"/>
                <w:lang w:val="en-US" w:eastAsia="zh-CN"/>
              </w:rPr>
              <w:t>无</w:t>
            </w:r>
          </w:p>
        </w:tc>
      </w:tr>
    </w:tbl>
    <w:p>
      <w:pPr>
        <w:shd w:val="clear" w:color="auto" w:fill="auto"/>
        <w:spacing w:line="560" w:lineRule="exact"/>
        <w:ind w:firstLine="640"/>
        <w:rPr>
          <w:rFonts w:hint="eastAsia" w:ascii="仿宋_GB2312" w:hAnsi="仿宋" w:eastAsia="仿宋_GB2312" w:cs="仿宋"/>
          <w:sz w:val="32"/>
          <w:szCs w:val="32"/>
        </w:rPr>
      </w:pPr>
    </w:p>
    <w:p>
      <w:pPr>
        <w:pStyle w:val="9"/>
        <w:shd w:val="clear" w:color="auto" w:fil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部门决算中项目绩效自评结果。</w:t>
      </w:r>
    </w:p>
    <w:p>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center"/>
        <w:outlineLvl w:val="9"/>
        <w:rPr>
          <w:rFonts w:hint="eastAsia" w:ascii="仿宋" w:hAnsi="仿宋" w:eastAsia="仿宋" w:cs="仿宋"/>
          <w:color w:val="auto"/>
          <w:sz w:val="32"/>
          <w:szCs w:val="32"/>
          <w:highlight w:val="none"/>
          <w:shd w:val="clear" w:color="auto" w:fill="FFFFFF"/>
          <w:lang w:eastAsia="zh-CN"/>
        </w:rPr>
      </w:pPr>
      <w:r>
        <w:rPr>
          <w:rFonts w:hint="eastAsia" w:ascii="仿宋_GB2312" w:hAnsi="仿宋" w:eastAsia="仿宋_GB2312" w:cs="仿宋"/>
          <w:sz w:val="32"/>
          <w:szCs w:val="32"/>
        </w:rPr>
        <w:t>本部门今年在部门决算中反映所有项目绩效自评结果（涉密项目除外）。</w:t>
      </w:r>
      <w:r>
        <w:rPr>
          <w:rFonts w:hint="eastAsia" w:ascii="仿宋" w:hAnsi="仿宋" w:eastAsia="仿宋" w:cs="仿宋"/>
          <w:color w:val="auto"/>
          <w:sz w:val="32"/>
          <w:szCs w:val="32"/>
          <w:highlight w:val="none"/>
          <w:shd w:val="clear" w:color="auto" w:fill="FFFFFF"/>
          <w:lang w:eastAsia="zh-CN"/>
        </w:rPr>
        <w:t>具体项目为：</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z w:val="32"/>
          <w:szCs w:val="32"/>
          <w:highlight w:val="none"/>
        </w:rPr>
      </w:pPr>
      <w:r>
        <w:rPr>
          <w:rFonts w:hint="eastAsia" w:ascii="仿宋" w:hAnsi="仿宋" w:eastAsia="仿宋" w:cs="仿宋"/>
          <w:bCs/>
          <w:color w:val="auto"/>
          <w:sz w:val="32"/>
          <w:szCs w:val="32"/>
          <w:highlight w:val="none"/>
          <w:lang w:val="en-US" w:eastAsia="zh-CN"/>
        </w:rPr>
        <w:t>1.“</w:t>
      </w:r>
      <w:r>
        <w:rPr>
          <w:rFonts w:hint="eastAsia" w:ascii="仿宋_GB2312" w:hAnsi="Times New Roman" w:eastAsia="仿宋_GB2312" w:cs="Times New Roman"/>
          <w:color w:val="auto"/>
          <w:kern w:val="2"/>
          <w:sz w:val="32"/>
          <w:szCs w:val="32"/>
          <w:highlight w:val="none"/>
          <w:lang w:val="en-US" w:eastAsia="zh-CN" w:bidi="ar-SA"/>
        </w:rPr>
        <w:t>政府采购业务及政府采购电子商城购买服务经费</w:t>
      </w:r>
      <w:r>
        <w:rPr>
          <w:rFonts w:hint="eastAsia" w:ascii="仿宋" w:hAnsi="仿宋" w:eastAsia="仿宋" w:cs="仿宋"/>
          <w:bCs/>
          <w:color w:val="auto"/>
          <w:sz w:val="32"/>
          <w:szCs w:val="32"/>
          <w:highlight w:val="none"/>
          <w:lang w:val="en-US" w:eastAsia="zh-CN"/>
        </w:rPr>
        <w:t>”</w:t>
      </w:r>
      <w:r>
        <w:rPr>
          <w:rFonts w:hint="eastAsia" w:ascii="仿宋_GB2312" w:hAnsi="Times New Roman" w:eastAsia="仿宋_GB2312" w:cs="Times New Roman"/>
          <w:color w:val="auto"/>
          <w:kern w:val="2"/>
          <w:sz w:val="32"/>
          <w:szCs w:val="32"/>
          <w:highlight w:val="none"/>
          <w:lang w:val="en-US" w:eastAsia="zh-CN" w:bidi="ar-SA"/>
        </w:rPr>
        <w:t>项目</w:t>
      </w:r>
      <w:r>
        <w:rPr>
          <w:rFonts w:hint="eastAsia" w:ascii="仿宋" w:hAnsi="仿宋" w:eastAsia="仿宋" w:cs="仿宋"/>
          <w:bCs/>
          <w:color w:val="auto"/>
          <w:sz w:val="32"/>
          <w:szCs w:val="32"/>
          <w:highlight w:val="none"/>
          <w:lang w:val="en-US" w:eastAsia="zh-CN"/>
        </w:rPr>
        <w:t>。年初预算为32万元，</w:t>
      </w:r>
      <w:r>
        <w:rPr>
          <w:rFonts w:hint="eastAsia" w:ascii="仿宋" w:hAnsi="仿宋" w:eastAsia="仿宋" w:cs="仿宋"/>
          <w:color w:val="auto"/>
          <w:sz w:val="32"/>
          <w:szCs w:val="32"/>
          <w:highlight w:val="none"/>
          <w:lang w:val="en-US" w:eastAsia="zh-CN"/>
        </w:rPr>
        <w:t>实际执行数31.01万元，完成预算的96.91%。</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项目</w:t>
      </w:r>
      <w:r>
        <w:rPr>
          <w:rFonts w:hint="eastAsia" w:ascii="仿宋" w:hAnsi="仿宋" w:eastAsia="仿宋" w:cs="仿宋"/>
          <w:color w:val="auto"/>
          <w:sz w:val="32"/>
          <w:szCs w:val="32"/>
          <w:highlight w:val="none"/>
        </w:rPr>
        <w:t>主要产出和效果</w:t>
      </w:r>
      <w:r>
        <w:rPr>
          <w:rFonts w:hint="eastAsia" w:ascii="仿宋" w:hAnsi="仿宋" w:eastAsia="仿宋" w:cs="仿宋"/>
          <w:color w:val="auto"/>
          <w:sz w:val="32"/>
          <w:szCs w:val="32"/>
          <w:highlight w:val="none"/>
          <w:lang w:eastAsia="zh-CN"/>
        </w:rPr>
        <w:t>：建立了全省唯一的市、（区）县一体政府采购交易系统，全面降低了各类市场主体参与政府采购门槛，每年可为市场主体节约流动资金</w:t>
      </w:r>
      <w:r>
        <w:rPr>
          <w:rFonts w:hint="eastAsia" w:ascii="仿宋" w:hAnsi="仿宋" w:eastAsia="仿宋" w:cs="仿宋"/>
          <w:color w:val="auto"/>
          <w:sz w:val="32"/>
          <w:szCs w:val="32"/>
          <w:highlight w:val="none"/>
          <w:lang w:val="en-US" w:eastAsia="zh-CN"/>
        </w:rPr>
        <w:t>20.4亿元。2022年全市政府采购完成合同金额40.8亿元。</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发现的问题及原因：无。</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下一步改进措施：无。</w:t>
      </w:r>
    </w:p>
    <w:p>
      <w:pPr>
        <w:keepNext w:val="0"/>
        <w:keepLines w:val="0"/>
        <w:pageBreakBefore w:val="0"/>
        <w:tabs>
          <w:tab w:val="left" w:pos="0"/>
        </w:tabs>
        <w:kinsoku/>
        <w:wordWrap/>
        <w:overflowPunct/>
        <w:topLinePunct w:val="0"/>
        <w:bidi w:val="0"/>
        <w:adjustRightInd w:val="0"/>
        <w:snapToGrid w:val="0"/>
        <w:spacing w:beforeAutospacing="0" w:line="560" w:lineRule="exact"/>
        <w:jc w:val="left"/>
        <w:textAlignment w:val="center"/>
        <w:outlineLvl w:val="9"/>
        <w:rPr>
          <w:rFonts w:hint="eastAsia" w:ascii="仿宋_GB2312" w:hAnsi="仿宋" w:eastAsia="仿宋_GB2312"/>
          <w:color w:val="auto"/>
          <w:sz w:val="32"/>
          <w:szCs w:val="32"/>
          <w:highlight w:val="none"/>
          <w:lang w:val="en-US" w:eastAsia="zh-CN"/>
        </w:rPr>
      </w:pPr>
      <w:r>
        <w:rPr>
          <w:rFonts w:hint="eastAsia" w:ascii="仿宋_GB2312" w:hAnsi="仿宋" w:eastAsia="仿宋_GB2312"/>
          <w:color w:val="auto"/>
          <w:sz w:val="32"/>
          <w:szCs w:val="32"/>
          <w:highlight w:val="none"/>
          <w:lang w:val="en-US" w:eastAsia="zh-CN"/>
        </w:rPr>
        <w:t>附：2022年度政府采购业务及政府采购电子商城工作经费项目自评表</w:t>
      </w:r>
    </w:p>
    <w:p>
      <w:pPr>
        <w:rPr>
          <w:color w:val="auto"/>
        </w:rPr>
      </w:pPr>
    </w:p>
    <w:tbl>
      <w:tblPr>
        <w:tblStyle w:val="7"/>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319"/>
        <w:gridCol w:w="923"/>
        <w:gridCol w:w="394"/>
        <w:gridCol w:w="1466"/>
        <w:gridCol w:w="660"/>
        <w:gridCol w:w="659"/>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项目名称</w:t>
            </w:r>
          </w:p>
        </w:tc>
        <w:tc>
          <w:tcPr>
            <w:tcW w:w="7420" w:type="dxa"/>
            <w:gridSpan w:val="8"/>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政府采购业务及政府采购“电子商城”购买服务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主管部门</w:t>
            </w:r>
          </w:p>
        </w:tc>
        <w:tc>
          <w:tcPr>
            <w:tcW w:w="3364" w:type="dxa"/>
            <w:gridSpan w:val="3"/>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黄石市财政局</w:t>
            </w:r>
          </w:p>
        </w:tc>
        <w:tc>
          <w:tcPr>
            <w:tcW w:w="2520"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项目实施单位</w:t>
            </w:r>
          </w:p>
        </w:tc>
        <w:tc>
          <w:tcPr>
            <w:tcW w:w="1536" w:type="dxa"/>
            <w:gridSpan w:val="2"/>
            <w:vAlign w:val="center"/>
          </w:tcPr>
          <w:p>
            <w:pPr>
              <w:widowControl/>
              <w:snapToGrid w:val="0"/>
              <w:jc w:val="both"/>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黄石市财政局</w:t>
            </w:r>
            <w:r>
              <w:rPr>
                <w:rFonts w:hint="eastAsia" w:ascii="仿宋" w:hAnsi="仿宋" w:eastAsia="仿宋" w:cs="仿宋"/>
                <w:color w:val="auto"/>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项目类别</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1、部门预算项目  </w:t>
            </w: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 xml:space="preserve">□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2、市直专项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项目属性</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1、持续性项目    </w:t>
            </w: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 xml:space="preserve">□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2、新增性项目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项目类型</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1、常年性项目    </w:t>
            </w: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 xml:space="preserve">□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2、延续性项目 □      3、一次性项目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预算执行情况（万元）</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w:t>
            </w:r>
          </w:p>
        </w:tc>
        <w:tc>
          <w:tcPr>
            <w:tcW w:w="1122" w:type="dxa"/>
            <w:vAlign w:val="center"/>
          </w:tcPr>
          <w:p>
            <w:pPr>
              <w:widowControl/>
              <w:snapToGrid w:val="0"/>
              <w:jc w:val="center"/>
              <w:rPr>
                <w:rFonts w:hint="eastAsia" w:ascii="仿宋" w:hAnsi="仿宋" w:eastAsia="仿宋" w:cs="仿宋"/>
                <w:color w:val="auto"/>
                <w:kern w:val="0"/>
                <w:sz w:val="32"/>
                <w:szCs w:val="32"/>
              </w:rPr>
            </w:pPr>
          </w:p>
        </w:tc>
        <w:tc>
          <w:tcPr>
            <w:tcW w:w="1319"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预算数（A）</w:t>
            </w:r>
          </w:p>
        </w:tc>
        <w:tc>
          <w:tcPr>
            <w:tcW w:w="1317"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执行数（B）</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执行率（B/A）</w:t>
            </w:r>
          </w:p>
        </w:tc>
        <w:tc>
          <w:tcPr>
            <w:tcW w:w="219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年度财政资金总额</w:t>
            </w:r>
          </w:p>
        </w:tc>
        <w:tc>
          <w:tcPr>
            <w:tcW w:w="1319"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32</w:t>
            </w:r>
          </w:p>
        </w:tc>
        <w:tc>
          <w:tcPr>
            <w:tcW w:w="1317"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31.01</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96.91%</w:t>
            </w:r>
          </w:p>
        </w:tc>
        <w:tc>
          <w:tcPr>
            <w:tcW w:w="219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restart"/>
            <w:vAlign w:val="center"/>
          </w:tcPr>
          <w:p>
            <w:pPr>
              <w:widowControl/>
              <w:snapToGrid w:val="0"/>
              <w:jc w:val="center"/>
              <w:rPr>
                <w:rFonts w:hint="eastAsia" w:ascii="仿宋" w:hAnsi="仿宋" w:eastAsia="仿宋" w:cs="仿宋"/>
                <w:color w:val="auto"/>
                <w:kern w:val="0"/>
                <w:sz w:val="32"/>
                <w:szCs w:val="32"/>
              </w:rPr>
            </w:pPr>
          </w:p>
          <w:p>
            <w:pPr>
              <w:widowControl/>
              <w:snapToGrid w:val="0"/>
              <w:jc w:val="center"/>
              <w:rPr>
                <w:rFonts w:hint="eastAsia" w:ascii="仿宋" w:hAnsi="仿宋" w:eastAsia="仿宋" w:cs="仿宋"/>
                <w:color w:val="auto"/>
                <w:kern w:val="0"/>
                <w:sz w:val="32"/>
                <w:szCs w:val="32"/>
              </w:rPr>
            </w:pP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年度绩效目标</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w:t>
            </w:r>
            <w:r>
              <w:rPr>
                <w:rFonts w:hint="eastAsia" w:ascii="仿宋" w:hAnsi="仿宋" w:eastAsia="仿宋" w:cs="仿宋"/>
                <w:color w:val="auto"/>
                <w:kern w:val="0"/>
                <w:sz w:val="32"/>
                <w:szCs w:val="32"/>
                <w:lang w:val="en-US" w:eastAsia="zh-CN"/>
              </w:rPr>
              <w:t>80</w:t>
            </w:r>
            <w:r>
              <w:rPr>
                <w:rFonts w:hint="eastAsia" w:ascii="仿宋" w:hAnsi="仿宋" w:eastAsia="仿宋" w:cs="仿宋"/>
                <w:color w:val="auto"/>
                <w:kern w:val="0"/>
                <w:sz w:val="32"/>
                <w:szCs w:val="32"/>
              </w:rPr>
              <w:t>分）</w:t>
            </w:r>
          </w:p>
        </w:tc>
        <w:tc>
          <w:tcPr>
            <w:tcW w:w="700" w:type="dxa"/>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一级指标</w:t>
            </w: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二级指标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三级指标</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年初目标值（A）</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实际完成值（B）</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restart"/>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产出指标</w:t>
            </w:r>
          </w:p>
        </w:tc>
        <w:tc>
          <w:tcPr>
            <w:tcW w:w="1122" w:type="dxa"/>
            <w:vAlign w:val="center"/>
          </w:tcPr>
          <w:p>
            <w:pPr>
              <w:widowControl/>
              <w:snapToGrid w:val="0"/>
              <w:jc w:val="center"/>
              <w:rPr>
                <w:rFonts w:hint="eastAsia" w:ascii="仿宋" w:hAnsi="仿宋" w:eastAsia="仿宋" w:cs="仿宋"/>
                <w:color w:val="auto"/>
                <w:kern w:val="0"/>
                <w:sz w:val="32"/>
                <w:szCs w:val="32"/>
                <w:lang w:eastAsia="zh-CN"/>
              </w:rPr>
            </w:pPr>
          </w:p>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数量指标</w:t>
            </w:r>
          </w:p>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keepNext w:val="0"/>
              <w:keepLines w:val="0"/>
              <w:widowControl/>
              <w:suppressLineNumbers w:val="0"/>
              <w:tabs>
                <w:tab w:val="left" w:pos="476"/>
              </w:tabs>
              <w:ind w:firstLine="320" w:firstLineChars="100"/>
              <w:jc w:val="left"/>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政府采购成交总金额</w:t>
            </w:r>
          </w:p>
        </w:tc>
        <w:tc>
          <w:tcPr>
            <w:tcW w:w="1466" w:type="dxa"/>
            <w:vAlign w:val="center"/>
          </w:tcPr>
          <w:p>
            <w:pPr>
              <w:keepNext w:val="0"/>
              <w:keepLines w:val="0"/>
              <w:widowControl/>
              <w:suppressLineNumbers w:val="0"/>
              <w:tabs>
                <w:tab w:val="left" w:pos="476"/>
              </w:tabs>
              <w:ind w:firstLine="320" w:firstLineChars="100"/>
              <w:jc w:val="left"/>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≥5亿元</w:t>
            </w:r>
          </w:p>
        </w:tc>
        <w:tc>
          <w:tcPr>
            <w:tcW w:w="1319" w:type="dxa"/>
            <w:gridSpan w:val="2"/>
            <w:vAlign w:val="center"/>
          </w:tcPr>
          <w:p>
            <w:pPr>
              <w:keepNext w:val="0"/>
              <w:keepLines w:val="0"/>
              <w:widowControl/>
              <w:suppressLineNumbers w:val="0"/>
              <w:tabs>
                <w:tab w:val="left" w:pos="476"/>
              </w:tabs>
              <w:ind w:firstLine="320" w:firstLineChars="100"/>
              <w:jc w:val="left"/>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6.7亿元</w:t>
            </w:r>
          </w:p>
        </w:tc>
        <w:tc>
          <w:tcPr>
            <w:tcW w:w="877" w:type="dxa"/>
            <w:vAlign w:val="center"/>
          </w:tcPr>
          <w:p>
            <w:pPr>
              <w:keepNext w:val="0"/>
              <w:keepLines w:val="0"/>
              <w:widowControl/>
              <w:suppressLineNumbers w:val="0"/>
              <w:tabs>
                <w:tab w:val="left" w:pos="476"/>
              </w:tabs>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restart"/>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质量指标</w:t>
            </w:r>
          </w:p>
        </w:tc>
        <w:tc>
          <w:tcPr>
            <w:tcW w:w="2636" w:type="dxa"/>
            <w:gridSpan w:val="3"/>
            <w:vAlign w:val="center"/>
          </w:tcPr>
          <w:p>
            <w:pPr>
              <w:keepNext w:val="0"/>
              <w:keepLines w:val="0"/>
              <w:widowControl/>
              <w:suppressLineNumbers w:val="0"/>
              <w:tabs>
                <w:tab w:val="left" w:pos="476"/>
              </w:tabs>
              <w:ind w:firstLine="320" w:firstLineChars="100"/>
              <w:jc w:val="left"/>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政府采购工作顺利推进</w:t>
            </w:r>
          </w:p>
        </w:tc>
        <w:tc>
          <w:tcPr>
            <w:tcW w:w="1466"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9" w:type="dxa"/>
            <w:gridSpan w:val="2"/>
            <w:vAlign w:val="center"/>
          </w:tcPr>
          <w:p>
            <w:pPr>
              <w:keepNext w:val="0"/>
              <w:keepLines w:val="0"/>
              <w:widowControl/>
              <w:suppressLineNumbers w:val="0"/>
              <w:tabs>
                <w:tab w:val="left" w:pos="544"/>
              </w:tabs>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77"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p>
        </w:tc>
        <w:tc>
          <w:tcPr>
            <w:tcW w:w="2636" w:type="dxa"/>
            <w:gridSpan w:val="3"/>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政府采购电子商城平稳运行</w:t>
            </w:r>
          </w:p>
        </w:tc>
        <w:tc>
          <w:tcPr>
            <w:tcW w:w="1466"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9" w:type="dxa"/>
            <w:gridSpan w:val="2"/>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77"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时效指标</w:t>
            </w:r>
          </w:p>
        </w:tc>
        <w:tc>
          <w:tcPr>
            <w:tcW w:w="2636" w:type="dxa"/>
            <w:gridSpan w:val="3"/>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一年内完成</w:t>
            </w:r>
          </w:p>
        </w:tc>
        <w:tc>
          <w:tcPr>
            <w:tcW w:w="1466"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1319" w:type="dxa"/>
            <w:gridSpan w:val="2"/>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达标</w:t>
            </w:r>
          </w:p>
        </w:tc>
        <w:tc>
          <w:tcPr>
            <w:tcW w:w="877"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restart"/>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p>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成本指标</w:t>
            </w:r>
          </w:p>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p>
        </w:tc>
        <w:tc>
          <w:tcPr>
            <w:tcW w:w="2636" w:type="dxa"/>
            <w:gridSpan w:val="3"/>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政府采购“电子商城”购买服务费用</w:t>
            </w:r>
          </w:p>
        </w:tc>
        <w:tc>
          <w:tcPr>
            <w:tcW w:w="1466"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≤20万元</w:t>
            </w:r>
          </w:p>
        </w:tc>
        <w:tc>
          <w:tcPr>
            <w:tcW w:w="1319" w:type="dxa"/>
            <w:gridSpan w:val="2"/>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19.8万元</w:t>
            </w:r>
          </w:p>
        </w:tc>
        <w:tc>
          <w:tcPr>
            <w:tcW w:w="877"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p>
        </w:tc>
        <w:tc>
          <w:tcPr>
            <w:tcW w:w="2636" w:type="dxa"/>
            <w:gridSpan w:val="3"/>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政府采购业务</w:t>
            </w:r>
          </w:p>
        </w:tc>
        <w:tc>
          <w:tcPr>
            <w:tcW w:w="1466"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≤12万元</w:t>
            </w:r>
          </w:p>
        </w:tc>
        <w:tc>
          <w:tcPr>
            <w:tcW w:w="1319" w:type="dxa"/>
            <w:gridSpan w:val="2"/>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11.21万元</w:t>
            </w:r>
          </w:p>
        </w:tc>
        <w:tc>
          <w:tcPr>
            <w:tcW w:w="877"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restart"/>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效益指标</w:t>
            </w:r>
          </w:p>
        </w:tc>
        <w:tc>
          <w:tcPr>
            <w:tcW w:w="1122" w:type="dxa"/>
            <w:vMerge w:val="restart"/>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经济效益指标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资金节约率</w:t>
            </w:r>
          </w:p>
        </w:tc>
        <w:tc>
          <w:tcPr>
            <w:tcW w:w="1466"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≧8%</w:t>
            </w:r>
          </w:p>
        </w:tc>
        <w:tc>
          <w:tcPr>
            <w:tcW w:w="1319" w:type="dxa"/>
            <w:gridSpan w:val="2"/>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8.2%</w:t>
            </w:r>
          </w:p>
        </w:tc>
        <w:tc>
          <w:tcPr>
            <w:tcW w:w="877"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lang w:eastAsia="zh-CN"/>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提高财政资金使用效益</w:t>
            </w:r>
          </w:p>
        </w:tc>
        <w:tc>
          <w:tcPr>
            <w:tcW w:w="1466"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达标</w:t>
            </w:r>
          </w:p>
        </w:tc>
        <w:tc>
          <w:tcPr>
            <w:tcW w:w="1319" w:type="dxa"/>
            <w:gridSpan w:val="2"/>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达标</w:t>
            </w:r>
          </w:p>
        </w:tc>
        <w:tc>
          <w:tcPr>
            <w:tcW w:w="877"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社会效益指标</w:t>
            </w:r>
          </w:p>
        </w:tc>
        <w:tc>
          <w:tcPr>
            <w:tcW w:w="2636" w:type="dxa"/>
            <w:gridSpan w:val="3"/>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促进中小企业发展</w:t>
            </w:r>
          </w:p>
        </w:tc>
        <w:tc>
          <w:tcPr>
            <w:tcW w:w="1466"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达标</w:t>
            </w:r>
          </w:p>
        </w:tc>
        <w:tc>
          <w:tcPr>
            <w:tcW w:w="1319" w:type="dxa"/>
            <w:gridSpan w:val="2"/>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达标</w:t>
            </w:r>
          </w:p>
        </w:tc>
        <w:tc>
          <w:tcPr>
            <w:tcW w:w="877"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环境效益指标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促进节能环保</w:t>
            </w:r>
          </w:p>
        </w:tc>
        <w:tc>
          <w:tcPr>
            <w:tcW w:w="1466" w:type="dxa"/>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基本达标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可持续影响指标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促进各部门依法行政</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满意度指标</w:t>
            </w:r>
          </w:p>
        </w:tc>
        <w:tc>
          <w:tcPr>
            <w:tcW w:w="1122" w:type="dxa"/>
            <w:vMerge w:val="restart"/>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p>
          <w:p>
            <w:pPr>
              <w:keepNext w:val="0"/>
              <w:keepLines w:val="0"/>
              <w:widowControl/>
              <w:suppressLineNumbers w:val="0"/>
              <w:jc w:val="center"/>
              <w:textAlignment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服务对象满意度指标</w:t>
            </w:r>
          </w:p>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服务对象对政府采购流程阳光透明的满意度</w:t>
            </w:r>
          </w:p>
        </w:tc>
        <w:tc>
          <w:tcPr>
            <w:tcW w:w="1466" w:type="dxa"/>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＞95%</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100%</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服务对象对政府采购结果公平公正的满意度</w:t>
            </w:r>
          </w:p>
        </w:tc>
        <w:tc>
          <w:tcPr>
            <w:tcW w:w="1466" w:type="dxa"/>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＞95%</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100%</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总分</w:t>
            </w:r>
          </w:p>
        </w:tc>
        <w:tc>
          <w:tcPr>
            <w:tcW w:w="8120" w:type="dxa"/>
            <w:gridSpan w:val="9"/>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98.38分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0"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偏差大或</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目标未完成</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原因分析</w:t>
            </w:r>
          </w:p>
        </w:tc>
        <w:tc>
          <w:tcPr>
            <w:tcW w:w="7420" w:type="dxa"/>
            <w:gridSpan w:val="8"/>
            <w:vAlign w:val="center"/>
          </w:tcPr>
          <w:p>
            <w:pPr>
              <w:widowControl/>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5"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改进措施及</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结果应用方案</w:t>
            </w:r>
          </w:p>
        </w:tc>
        <w:tc>
          <w:tcPr>
            <w:tcW w:w="7420" w:type="dxa"/>
            <w:gridSpan w:val="8"/>
            <w:vAlign w:val="center"/>
          </w:tcPr>
          <w:p>
            <w:pPr>
              <w:widowControl/>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无</w:t>
            </w:r>
          </w:p>
        </w:tc>
      </w:tr>
    </w:tbl>
    <w:p>
      <w:pPr>
        <w:pStyle w:val="3"/>
        <w:rPr>
          <w:rFonts w:hint="eastAsia" w:ascii="仿宋" w:hAnsi="仿宋" w:eastAsia="仿宋" w:cs="仿宋"/>
          <w:color w:val="auto"/>
          <w:sz w:val="32"/>
          <w:szCs w:val="32"/>
          <w:lang w:val="en-US" w:eastAsia="zh-CN"/>
        </w:rPr>
      </w:pP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eastAsia="zh-CN"/>
        </w:rPr>
      </w:pPr>
      <w:r>
        <w:rPr>
          <w:rFonts w:hint="eastAsia"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绩效评价工作</w:t>
      </w:r>
      <w:r>
        <w:rPr>
          <w:rFonts w:hint="eastAsia" w:ascii="仿宋" w:hAnsi="仿宋" w:eastAsia="仿宋" w:cs="仿宋"/>
          <w:color w:val="auto"/>
          <w:sz w:val="32"/>
          <w:szCs w:val="32"/>
          <w:highlight w:val="none"/>
          <w:lang w:eastAsia="zh-CN"/>
        </w:rPr>
        <w:t>经费</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lang w:eastAsia="zh-CN"/>
        </w:rPr>
        <w:t>项目。</w:t>
      </w:r>
      <w:r>
        <w:rPr>
          <w:rFonts w:hint="eastAsia" w:ascii="仿宋" w:hAnsi="仿宋" w:eastAsia="仿宋"/>
          <w:color w:val="auto"/>
          <w:sz w:val="32"/>
          <w:szCs w:val="32"/>
          <w:highlight w:val="none"/>
        </w:rPr>
        <w:t>绩效评价工作</w:t>
      </w:r>
      <w:r>
        <w:rPr>
          <w:rFonts w:hint="eastAsia" w:ascii="仿宋" w:hAnsi="仿宋" w:eastAsia="仿宋"/>
          <w:color w:val="auto"/>
          <w:sz w:val="32"/>
          <w:szCs w:val="32"/>
          <w:highlight w:val="none"/>
          <w:lang w:eastAsia="zh-CN"/>
        </w:rPr>
        <w:t>经费预算金额为</w:t>
      </w:r>
      <w:r>
        <w:rPr>
          <w:rFonts w:hint="eastAsia" w:ascii="仿宋" w:hAnsi="仿宋" w:eastAsia="仿宋"/>
          <w:color w:val="auto"/>
          <w:sz w:val="32"/>
          <w:szCs w:val="32"/>
          <w:highlight w:val="none"/>
          <w:lang w:val="en-US" w:eastAsia="zh-CN"/>
        </w:rPr>
        <w:t>8万元</w:t>
      </w:r>
      <w:r>
        <w:rPr>
          <w:rFonts w:hint="eastAsia" w:ascii="仿宋" w:hAnsi="仿宋" w:eastAsia="仿宋"/>
          <w:color w:val="auto"/>
          <w:sz w:val="32"/>
          <w:szCs w:val="32"/>
          <w:highlight w:val="none"/>
        </w:rPr>
        <w:t>。</w:t>
      </w:r>
      <w:r>
        <w:rPr>
          <w:rFonts w:hint="eastAsia" w:ascii="仿宋" w:hAnsi="仿宋" w:eastAsia="仿宋" w:cs="仿宋"/>
          <w:color w:val="auto"/>
          <w:spacing w:val="0"/>
          <w:sz w:val="32"/>
          <w:szCs w:val="32"/>
          <w:highlight w:val="none"/>
          <w:lang w:eastAsia="zh-CN"/>
        </w:rPr>
        <w:t>实际执行数</w:t>
      </w:r>
      <w:r>
        <w:rPr>
          <w:rFonts w:hint="eastAsia" w:ascii="仿宋" w:hAnsi="仿宋" w:eastAsia="仿宋" w:cs="仿宋"/>
          <w:color w:val="auto"/>
          <w:spacing w:val="0"/>
          <w:sz w:val="32"/>
          <w:szCs w:val="32"/>
          <w:highlight w:val="none"/>
          <w:lang w:val="en-US" w:eastAsia="zh-CN"/>
        </w:rPr>
        <w:t>5.37</w:t>
      </w:r>
      <w:r>
        <w:rPr>
          <w:rFonts w:hint="eastAsia" w:ascii="仿宋" w:hAnsi="仿宋" w:eastAsia="仿宋" w:cs="仿宋"/>
          <w:color w:val="auto"/>
          <w:spacing w:val="0"/>
          <w:sz w:val="32"/>
          <w:szCs w:val="32"/>
          <w:highlight w:val="none"/>
          <w:lang w:eastAsia="zh-CN"/>
        </w:rPr>
        <w:t>万元，完成预算</w:t>
      </w:r>
      <w:r>
        <w:rPr>
          <w:rFonts w:hint="eastAsia" w:ascii="仿宋" w:hAnsi="仿宋" w:eastAsia="仿宋" w:cs="仿宋"/>
          <w:color w:val="auto"/>
          <w:spacing w:val="0"/>
          <w:sz w:val="32"/>
          <w:szCs w:val="32"/>
          <w:highlight w:val="none"/>
          <w:lang w:val="en-US" w:eastAsia="zh-CN"/>
        </w:rPr>
        <w:t>67.13</w:t>
      </w:r>
      <w:r>
        <w:rPr>
          <w:rFonts w:hint="eastAsia" w:ascii="仿宋" w:hAnsi="仿宋" w:eastAsia="仿宋" w:cs="仿宋"/>
          <w:color w:val="auto"/>
          <w:spacing w:val="0"/>
          <w:sz w:val="32"/>
          <w:szCs w:val="32"/>
          <w:highlight w:val="none"/>
          <w:lang w:eastAsia="zh-CN"/>
        </w:rPr>
        <w:t>%。</w:t>
      </w:r>
    </w:p>
    <w:p>
      <w:pPr>
        <w:snapToGrid w:val="0"/>
        <w:spacing w:line="520" w:lineRule="exact"/>
        <w:ind w:firstLine="640" w:firstLineChars="200"/>
        <w:rPr>
          <w:rFonts w:hint="eastAsia" w:ascii="仿宋_GB2312" w:hAnsi="仿宋" w:eastAsia="仿宋_GB2312" w:cs="仿宋"/>
          <w:b w:val="0"/>
          <w:bCs w:val="0"/>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主要产出和效果：强化绩效评价和投资评审管理，全年委托第三方专业机构完成重点评价项目13个，涉及金额6.29亿元，以及市直69家一级预算单位部门整体支出绩效评价工作。</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发现的问题及原因：资金执行率较低，原因是组织市级第三方绩效评价时，优先使用向省厅争取的奖励资金支付。</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下一步改进措施：今后将加大市直年初专项资金执行率，扩大绩效评价范围提升绩效管理质量。</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附：2022年度绩效评价管理项目工作经费自评表</w:t>
      </w:r>
    </w:p>
    <w:tbl>
      <w:tblPr>
        <w:tblStyle w:val="7"/>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319"/>
        <w:gridCol w:w="923"/>
        <w:gridCol w:w="394"/>
        <w:gridCol w:w="1466"/>
        <w:gridCol w:w="660"/>
        <w:gridCol w:w="659"/>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项目名称</w:t>
            </w:r>
          </w:p>
        </w:tc>
        <w:tc>
          <w:tcPr>
            <w:tcW w:w="7420" w:type="dxa"/>
            <w:gridSpan w:val="8"/>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绩效评价管理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主管部门</w:t>
            </w:r>
          </w:p>
        </w:tc>
        <w:tc>
          <w:tcPr>
            <w:tcW w:w="3364" w:type="dxa"/>
            <w:gridSpan w:val="3"/>
            <w:vAlign w:val="center"/>
          </w:tcPr>
          <w:p>
            <w:pPr>
              <w:widowControl/>
              <w:snapToGrid w:val="0"/>
              <w:jc w:val="left"/>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黄石市财政局</w:t>
            </w:r>
          </w:p>
        </w:tc>
        <w:tc>
          <w:tcPr>
            <w:tcW w:w="2520"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项目实施单位</w:t>
            </w:r>
          </w:p>
        </w:tc>
        <w:tc>
          <w:tcPr>
            <w:tcW w:w="1536"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黄石市财政局</w:t>
            </w:r>
            <w:r>
              <w:rPr>
                <w:rFonts w:hint="eastAsia" w:ascii="仿宋" w:hAnsi="仿宋" w:eastAsia="仿宋" w:cs="仿宋"/>
                <w:color w:val="auto"/>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项目类别</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1、部门预算项目  √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2、市直专项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项目属性</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1、持续性项目    √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2、新增性项目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项目类型</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1、常年性项目    √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2、延续性项目 □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3、一次性项目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预算执行情况（万元）</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w:t>
            </w:r>
          </w:p>
        </w:tc>
        <w:tc>
          <w:tcPr>
            <w:tcW w:w="1122" w:type="dxa"/>
            <w:vAlign w:val="center"/>
          </w:tcPr>
          <w:p>
            <w:pPr>
              <w:widowControl/>
              <w:snapToGrid w:val="0"/>
              <w:jc w:val="center"/>
              <w:rPr>
                <w:rFonts w:hint="eastAsia" w:ascii="仿宋" w:hAnsi="仿宋" w:eastAsia="仿宋" w:cs="仿宋"/>
                <w:color w:val="auto"/>
                <w:kern w:val="0"/>
                <w:sz w:val="32"/>
                <w:szCs w:val="32"/>
              </w:rPr>
            </w:pPr>
          </w:p>
        </w:tc>
        <w:tc>
          <w:tcPr>
            <w:tcW w:w="1319"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预算数（A）</w:t>
            </w:r>
          </w:p>
        </w:tc>
        <w:tc>
          <w:tcPr>
            <w:tcW w:w="1317"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执行数（B）</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执行率（B/A）</w:t>
            </w:r>
          </w:p>
        </w:tc>
        <w:tc>
          <w:tcPr>
            <w:tcW w:w="219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年度财政资金总额</w:t>
            </w:r>
          </w:p>
        </w:tc>
        <w:tc>
          <w:tcPr>
            <w:tcW w:w="1319"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8</w:t>
            </w:r>
          </w:p>
        </w:tc>
        <w:tc>
          <w:tcPr>
            <w:tcW w:w="1317"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5.37</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67.13%</w:t>
            </w:r>
          </w:p>
        </w:tc>
        <w:tc>
          <w:tcPr>
            <w:tcW w:w="2196" w:type="dxa"/>
            <w:gridSpan w:val="3"/>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年度绩效目标</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w:t>
            </w:r>
            <w:r>
              <w:rPr>
                <w:rFonts w:hint="eastAsia" w:ascii="仿宋" w:hAnsi="仿宋" w:eastAsia="仿宋" w:cs="仿宋"/>
                <w:color w:val="auto"/>
                <w:kern w:val="0"/>
                <w:sz w:val="32"/>
                <w:szCs w:val="32"/>
                <w:lang w:val="en-US" w:eastAsia="zh-CN"/>
              </w:rPr>
              <w:t>80</w:t>
            </w:r>
            <w:r>
              <w:rPr>
                <w:rFonts w:hint="eastAsia" w:ascii="仿宋" w:hAnsi="仿宋" w:eastAsia="仿宋" w:cs="仿宋"/>
                <w:color w:val="auto"/>
                <w:kern w:val="0"/>
                <w:sz w:val="32"/>
                <w:szCs w:val="32"/>
              </w:rPr>
              <w:t>分）</w:t>
            </w:r>
          </w:p>
        </w:tc>
        <w:tc>
          <w:tcPr>
            <w:tcW w:w="700" w:type="dxa"/>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一级指标</w:t>
            </w: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二级指标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三级指标</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年初目标值（A）</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实际完成值（B）</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restart"/>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产出指标</w:t>
            </w: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数量指标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财政评价项目数</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10个</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14个</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数量指标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评价项目金额</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10亿元</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23.75亿元</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质量指标</w:t>
            </w:r>
          </w:p>
        </w:tc>
        <w:tc>
          <w:tcPr>
            <w:tcW w:w="2636" w:type="dxa"/>
            <w:gridSpan w:val="3"/>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第三方绩效评价报告质量评审合格率</w:t>
            </w:r>
          </w:p>
        </w:tc>
        <w:tc>
          <w:tcPr>
            <w:tcW w:w="1466"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≥80%</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86%</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restart"/>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效益指标</w:t>
            </w:r>
          </w:p>
        </w:tc>
        <w:tc>
          <w:tcPr>
            <w:tcW w:w="1122"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经济效益指标</w:t>
            </w:r>
          </w:p>
        </w:tc>
        <w:tc>
          <w:tcPr>
            <w:tcW w:w="2636" w:type="dxa"/>
            <w:gridSpan w:val="3"/>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促进财政资金合理分配</w:t>
            </w:r>
          </w:p>
        </w:tc>
        <w:tc>
          <w:tcPr>
            <w:tcW w:w="1466" w:type="dxa"/>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达标</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经济效益指标</w:t>
            </w:r>
          </w:p>
        </w:tc>
        <w:tc>
          <w:tcPr>
            <w:tcW w:w="2636" w:type="dxa"/>
            <w:gridSpan w:val="3"/>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提高财政资金使用效益</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达标</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keepNext w:val="0"/>
              <w:keepLines w:val="0"/>
              <w:widowControl/>
              <w:suppressLineNumbers w:val="0"/>
              <w:ind w:left="440" w:hanging="640" w:hangingChars="200"/>
              <w:jc w:val="both"/>
              <w:textAlignment w:val="center"/>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社会效益</w:t>
            </w:r>
          </w:p>
          <w:p>
            <w:pPr>
              <w:keepNext w:val="0"/>
              <w:keepLines w:val="0"/>
              <w:widowControl/>
              <w:suppressLineNumbers w:val="0"/>
              <w:ind w:left="653" w:leftChars="104" w:hanging="320" w:hangingChars="100"/>
              <w:jc w:val="both"/>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指标</w:t>
            </w:r>
          </w:p>
        </w:tc>
        <w:tc>
          <w:tcPr>
            <w:tcW w:w="2636" w:type="dxa"/>
            <w:gridSpan w:val="3"/>
            <w:vAlign w:val="center"/>
          </w:tcPr>
          <w:p>
            <w:pPr>
              <w:keepNext w:val="0"/>
              <w:keepLines w:val="0"/>
              <w:widowControl/>
              <w:suppressLineNumbers w:val="0"/>
              <w:jc w:val="left"/>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提升政府公信力和公众形象</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达标</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keepNext w:val="0"/>
              <w:keepLines w:val="0"/>
              <w:widowControl/>
              <w:suppressLineNumbers w:val="0"/>
              <w:jc w:val="left"/>
              <w:textAlignment w:val="center"/>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可持续影响指标</w:t>
            </w:r>
          </w:p>
        </w:tc>
        <w:tc>
          <w:tcPr>
            <w:tcW w:w="2636" w:type="dxa"/>
            <w:gridSpan w:val="3"/>
            <w:vAlign w:val="center"/>
          </w:tcPr>
          <w:p>
            <w:pPr>
              <w:keepNext w:val="0"/>
              <w:keepLines w:val="0"/>
              <w:widowControl/>
              <w:suppressLineNumbers w:val="0"/>
              <w:jc w:val="left"/>
              <w:textAlignment w:val="center"/>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促进各部门提升绩效管理理念</w:t>
            </w:r>
          </w:p>
        </w:tc>
        <w:tc>
          <w:tcPr>
            <w:tcW w:w="1466" w:type="dxa"/>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满意度指标</w:t>
            </w:r>
          </w:p>
        </w:tc>
        <w:tc>
          <w:tcPr>
            <w:tcW w:w="1122" w:type="dxa"/>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具体指标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群众对财政资金使用效率满意度</w:t>
            </w:r>
          </w:p>
        </w:tc>
        <w:tc>
          <w:tcPr>
            <w:tcW w:w="1466" w:type="dxa"/>
            <w:vAlign w:val="center"/>
          </w:tcPr>
          <w:p>
            <w:pPr>
              <w:keepNext w:val="0"/>
              <w:keepLines w:val="0"/>
              <w:widowControl/>
              <w:suppressLineNumbers w:val="0"/>
              <w:ind w:firstLine="640" w:firstLineChars="200"/>
              <w:jc w:val="left"/>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＞85%</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90%</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总分</w:t>
            </w:r>
          </w:p>
        </w:tc>
        <w:tc>
          <w:tcPr>
            <w:tcW w:w="8120" w:type="dxa"/>
            <w:gridSpan w:val="9"/>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93.43分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偏差大或</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目标未完成</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原因分析</w:t>
            </w:r>
          </w:p>
        </w:tc>
        <w:tc>
          <w:tcPr>
            <w:tcW w:w="7420" w:type="dxa"/>
            <w:gridSpan w:val="8"/>
            <w:vAlign w:val="center"/>
          </w:tcPr>
          <w:p>
            <w:pPr>
              <w:widowControl/>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预算绩效管理工作主要支出是委托第三方机构劳务费支出，</w:t>
            </w:r>
            <w:r>
              <w:rPr>
                <w:rFonts w:hint="eastAsia" w:ascii="仿宋" w:hAnsi="仿宋" w:eastAsia="仿宋" w:cs="仿宋"/>
                <w:color w:val="auto"/>
                <w:kern w:val="0"/>
                <w:sz w:val="32"/>
                <w:szCs w:val="32"/>
                <w:lang w:val="en-US" w:eastAsia="zh-CN"/>
              </w:rPr>
              <w:t>2022年该项费用全部从省厅拨付的绩效管理激励资金中列支，因此预算数只执行了5.37万元。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5"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改进措施及</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结果应用方案</w:t>
            </w:r>
          </w:p>
        </w:tc>
        <w:tc>
          <w:tcPr>
            <w:tcW w:w="7420" w:type="dxa"/>
            <w:gridSpan w:val="8"/>
            <w:vAlign w:val="center"/>
          </w:tcPr>
          <w:p>
            <w:pPr>
              <w:widowControl/>
              <w:ind w:firstLine="640" w:firstLineChars="200"/>
              <w:jc w:val="lef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我们将继续全力推进绩效管理和预算管理深度融合，充分发挥预算绩效管理的引导约束作用，推进全市绩效管理工作提质增效，持续提升公共财政资金使用效益和政策实施效果。</w:t>
            </w:r>
          </w:p>
          <w:p>
            <w:pPr>
              <w:widowControl/>
              <w:ind w:firstLine="640" w:firstLineChars="200"/>
              <w:jc w:val="lef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一、进一步抓好预算绩效管理系列制度的执行。加强政策宣传解读，强化制度执行，及时纠正偏差。加强绩效事前评估工作，促进新增重大项目开展事前绩效评估常态化。做好绩效目标管理和部门自评工作，适时会同审计部门对自评结果的真实性、准确性进行抽查复核，避免自评工作流于形式，实现绩效管理从量变到质变的飞跃。加强财政评价，强化结果应用及绩效管理信息公开，提升财政资金使用效益，主动接受社会监督。</w:t>
            </w:r>
          </w:p>
          <w:p>
            <w:pPr>
              <w:widowControl/>
              <w:ind w:firstLine="640" w:firstLineChars="200"/>
              <w:jc w:val="lef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二、进一步加强政策宣传和业务培训。针对不同层次、不同群体进行政策宣传和业务培训，重点加强对部门主要负责人的政策宣传和业务科室人员的业务培训，强化部门绩效管理主体责任意识和绩效管理水平，让各部门真正意识到绩效管理是依法行政的需要，特别是在当前绩财政收支矛盾突出的情况下，是提高财政资金使用效能的现实要求。通过方式方法的不断改革创新，促进全社会形成“讲绩效、用绩效、比绩效”的良好氛围，让全方位、全过程、全覆盖的预算绩效管理理念深入人心。</w:t>
            </w:r>
          </w:p>
          <w:p>
            <w:pPr>
              <w:widowControl/>
              <w:ind w:firstLine="640" w:firstLineChars="200"/>
              <w:jc w:val="lef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三、进一步落实第三方机构参与预算绩效管理相关标准。切实加强系列标准的宣传培训，推进第三方机构实现管理精细化，操作规范化、推进管理模式和服务模式的转型升级。适时开展对第三方机构和报告的评级工作，督促第三方提高业务能力，提升第三方绩效评价报告的公信力，增强结果可用性。</w:t>
            </w:r>
          </w:p>
          <w:p>
            <w:pPr>
              <w:widowControl/>
              <w:jc w:val="left"/>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四、开展部门预算绩效管理工作调研。通过走访调研，分析我市绩效管理工作现状，找到突破瓶颈的抓手，促进我市预算绩效管理各项措施落到实处，实现绩效管理的“量变”到“质变”的飞跃。</w:t>
            </w:r>
          </w:p>
          <w:p>
            <w:pPr>
              <w:widowControl/>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五、强化绩效评价结果应用。严格落实政府过“紧日子”的要求，建立绩效管理成果挂钩机制，将绩效评估结果作为新项目的设立、预算安排、部门整体绩效和以后年度预算安排的重要依据，进一步压实预算单位的绩效责任。严格按照“花钱必问效、无效必问责”原则，体现奖优罚劣和激励相容导向，切实提高财政资金使用效益。</w:t>
            </w:r>
          </w:p>
        </w:tc>
      </w:tr>
    </w:tbl>
    <w:p>
      <w:pPr>
        <w:pStyle w:val="2"/>
        <w:rPr>
          <w:rFonts w:hint="eastAsia" w:ascii="仿宋" w:hAnsi="仿宋" w:eastAsia="仿宋" w:cs="仿宋"/>
          <w:color w:val="auto"/>
          <w:sz w:val="32"/>
          <w:szCs w:val="32"/>
          <w:lang w:val="en-US" w:eastAsia="zh-CN"/>
        </w:rPr>
      </w:pPr>
    </w:p>
    <w:p>
      <w:pPr>
        <w:keepNext w:val="0"/>
        <w:keepLines w:val="0"/>
        <w:pageBreakBefore w:val="0"/>
        <w:numPr>
          <w:ilvl w:val="0"/>
          <w:numId w:val="0"/>
        </w:numPr>
        <w:kinsoku/>
        <w:wordWrap/>
        <w:overflowPunct/>
        <w:topLinePunct w:val="0"/>
        <w:autoSpaceDE w:val="0"/>
        <w:autoSpaceDN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b w:val="0"/>
          <w:bCs w:val="0"/>
          <w:color w:val="auto"/>
          <w:spacing w:val="0"/>
          <w:sz w:val="32"/>
          <w:szCs w:val="32"/>
          <w:highlight w:val="none"/>
          <w:lang w:val="en-US" w:eastAsia="zh-CN"/>
        </w:rPr>
      </w:pPr>
      <w:r>
        <w:rPr>
          <w:rFonts w:hint="eastAsia" w:ascii="仿宋_GB2312" w:hAnsi="仿宋" w:eastAsia="仿宋_GB2312"/>
          <w:color w:val="auto"/>
          <w:sz w:val="32"/>
          <w:szCs w:val="32"/>
          <w:highlight w:val="none"/>
          <w:lang w:val="en-US" w:eastAsia="zh-CN"/>
        </w:rPr>
        <w:t>3.“财政监督检查经费”项目。</w:t>
      </w:r>
      <w:r>
        <w:rPr>
          <w:rFonts w:hint="eastAsia" w:ascii="仿宋" w:hAnsi="仿宋" w:eastAsia="仿宋"/>
          <w:color w:val="auto"/>
          <w:sz w:val="32"/>
          <w:szCs w:val="32"/>
          <w:highlight w:val="none"/>
          <w:lang w:eastAsia="zh-CN"/>
        </w:rPr>
        <w:t>预算金额</w:t>
      </w:r>
      <w:r>
        <w:rPr>
          <w:rFonts w:hint="eastAsia" w:ascii="仿宋" w:hAnsi="仿宋" w:eastAsia="仿宋"/>
          <w:color w:val="auto"/>
          <w:sz w:val="32"/>
          <w:szCs w:val="32"/>
          <w:highlight w:val="none"/>
          <w:lang w:val="en-US" w:eastAsia="zh-CN"/>
        </w:rPr>
        <w:t>9万元，</w:t>
      </w:r>
      <w:r>
        <w:rPr>
          <w:rFonts w:hint="eastAsia" w:ascii="仿宋" w:hAnsi="仿宋" w:eastAsia="仿宋" w:cs="仿宋"/>
          <w:color w:val="auto"/>
          <w:sz w:val="32"/>
          <w:szCs w:val="32"/>
          <w:highlight w:val="none"/>
          <w:lang w:eastAsia="zh-CN"/>
        </w:rPr>
        <w:t>实际执行数</w:t>
      </w:r>
      <w:r>
        <w:rPr>
          <w:rFonts w:hint="eastAsia" w:ascii="仿宋" w:hAnsi="仿宋" w:eastAsia="仿宋" w:cs="仿宋"/>
          <w:color w:val="auto"/>
          <w:sz w:val="32"/>
          <w:szCs w:val="32"/>
          <w:highlight w:val="none"/>
          <w:lang w:val="en-US" w:eastAsia="zh-CN"/>
        </w:rPr>
        <w:t>6.38</w:t>
      </w:r>
      <w:r>
        <w:rPr>
          <w:rFonts w:hint="eastAsia" w:ascii="仿宋" w:hAnsi="仿宋" w:eastAsia="仿宋" w:cs="仿宋"/>
          <w:color w:val="auto"/>
          <w:spacing w:val="0"/>
          <w:sz w:val="32"/>
          <w:szCs w:val="32"/>
          <w:highlight w:val="none"/>
          <w:lang w:val="en-US" w:eastAsia="zh-CN"/>
        </w:rPr>
        <w:t>万</w:t>
      </w:r>
      <w:r>
        <w:rPr>
          <w:rFonts w:hint="eastAsia" w:ascii="仿宋" w:hAnsi="仿宋" w:eastAsia="仿宋" w:cs="仿宋"/>
          <w:color w:val="auto"/>
          <w:spacing w:val="0"/>
          <w:sz w:val="32"/>
          <w:szCs w:val="32"/>
          <w:highlight w:val="none"/>
          <w:lang w:eastAsia="zh-CN"/>
        </w:rPr>
        <w:t>元，完成</w:t>
      </w:r>
      <w:r>
        <w:rPr>
          <w:rFonts w:hint="eastAsia" w:ascii="仿宋" w:hAnsi="仿宋" w:eastAsia="仿宋" w:cs="仿宋"/>
          <w:color w:val="auto"/>
          <w:spacing w:val="0"/>
          <w:sz w:val="32"/>
          <w:szCs w:val="32"/>
          <w:highlight w:val="none"/>
          <w:lang w:val="en-US" w:eastAsia="zh-CN"/>
        </w:rPr>
        <w:t>70.89%</w:t>
      </w:r>
      <w:r>
        <w:rPr>
          <w:rFonts w:hint="eastAsia" w:ascii="仿宋" w:hAnsi="仿宋" w:eastAsia="仿宋" w:cs="仿宋"/>
          <w:color w:val="auto"/>
          <w:sz w:val="32"/>
          <w:szCs w:val="32"/>
          <w:highlight w:val="none"/>
        </w:rPr>
        <w:t>。</w:t>
      </w:r>
    </w:p>
    <w:p>
      <w:pPr>
        <w:pStyle w:val="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center"/>
        <w:outlineLvl w:val="9"/>
        <w:rPr>
          <w:rFonts w:hint="eastAsia" w:ascii="仿宋" w:hAnsi="仿宋" w:eastAsia="仿宋" w:cs="仿宋"/>
          <w:b w:val="0"/>
          <w:bCs w:val="0"/>
          <w:color w:val="auto"/>
          <w:spacing w:val="0"/>
          <w:sz w:val="32"/>
          <w:szCs w:val="32"/>
          <w:highlight w:val="none"/>
          <w:lang w:val="en-US" w:eastAsia="zh-CN"/>
        </w:rPr>
      </w:pPr>
      <w:r>
        <w:rPr>
          <w:rFonts w:hint="eastAsia" w:ascii="仿宋" w:hAnsi="仿宋" w:eastAsia="仿宋" w:cs="仿宋"/>
          <w:color w:val="auto"/>
          <w:sz w:val="32"/>
          <w:szCs w:val="32"/>
          <w:highlight w:val="none"/>
          <w:lang w:eastAsia="zh-CN"/>
        </w:rPr>
        <w:t>主要产出和效果：开展财经秩序七大领域专项整治、国有资产领域专项整治、</w:t>
      </w:r>
      <w:r>
        <w:rPr>
          <w:rFonts w:hint="eastAsia" w:ascii="仿宋" w:hAnsi="仿宋" w:eastAsia="仿宋" w:cs="仿宋"/>
          <w:color w:val="auto"/>
          <w:sz w:val="32"/>
          <w:szCs w:val="32"/>
          <w:highlight w:val="none"/>
          <w:lang w:val="en-US" w:eastAsia="zh-CN"/>
        </w:rPr>
        <w:t>2021年度预决算公开专项检查、会计信息质量专项检查，配合市纪委开展“落实政府过紧日子”专项整治</w:t>
      </w:r>
      <w:r>
        <w:rPr>
          <w:rFonts w:hint="eastAsia" w:ascii="仿宋" w:hAnsi="仿宋" w:eastAsia="仿宋" w:cs="仿宋"/>
          <w:color w:val="auto"/>
          <w:sz w:val="32"/>
          <w:szCs w:val="32"/>
          <w:highlight w:val="none"/>
          <w:lang w:eastAsia="zh-CN"/>
        </w:rPr>
        <w:t>、“三公”经费、“节日”反腐、惠民惠农一卡通等检查、乡村振兴补助资金等</w:t>
      </w:r>
      <w:r>
        <w:rPr>
          <w:rFonts w:hint="eastAsia" w:ascii="仿宋" w:hAnsi="仿宋" w:eastAsia="仿宋"/>
          <w:color w:val="auto"/>
          <w:sz w:val="32"/>
          <w:szCs w:val="32"/>
          <w:lang w:val="en-US" w:eastAsia="zh-CN"/>
        </w:rPr>
        <w:t>。</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发现的问题及原因：无。</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下一步改进措施：加大监督检查力度，扩大监督检查范围，不折不扣完成各项财政监督检查任务，合理、按时使用项目资金。</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附：2022年度财政监督检查工作经费项目自评表</w:t>
      </w:r>
    </w:p>
    <w:tbl>
      <w:tblPr>
        <w:tblStyle w:val="7"/>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319"/>
        <w:gridCol w:w="923"/>
        <w:gridCol w:w="394"/>
        <w:gridCol w:w="1466"/>
        <w:gridCol w:w="660"/>
        <w:gridCol w:w="659"/>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项目名称</w:t>
            </w:r>
          </w:p>
        </w:tc>
        <w:tc>
          <w:tcPr>
            <w:tcW w:w="7420" w:type="dxa"/>
            <w:gridSpan w:val="8"/>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财政监督检查</w:t>
            </w:r>
            <w:r>
              <w:rPr>
                <w:rFonts w:hint="eastAsia" w:ascii="仿宋" w:hAnsi="仿宋" w:eastAsia="仿宋" w:cs="仿宋"/>
                <w:color w:val="auto"/>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主管部门</w:t>
            </w:r>
          </w:p>
        </w:tc>
        <w:tc>
          <w:tcPr>
            <w:tcW w:w="3364" w:type="dxa"/>
            <w:gridSpan w:val="3"/>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黄石市财政局</w:t>
            </w:r>
          </w:p>
        </w:tc>
        <w:tc>
          <w:tcPr>
            <w:tcW w:w="2520"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项目实施单位</w:t>
            </w:r>
          </w:p>
        </w:tc>
        <w:tc>
          <w:tcPr>
            <w:tcW w:w="1536"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黄石市财政局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项目类别</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1、部门预算项目 </w:t>
            </w: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 xml:space="preserve">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2、市直专项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项目属性</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1、持续性项目   </w:t>
            </w: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 xml:space="preserve">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2、新增性项目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项目类型</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1、常年性项目   </w:t>
            </w: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 xml:space="preserve">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2、延续性项目 □      3、一次性项目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预算执行情况（万元）</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w:t>
            </w:r>
          </w:p>
        </w:tc>
        <w:tc>
          <w:tcPr>
            <w:tcW w:w="1122" w:type="dxa"/>
            <w:vAlign w:val="center"/>
          </w:tcPr>
          <w:p>
            <w:pPr>
              <w:widowControl/>
              <w:snapToGrid w:val="0"/>
              <w:jc w:val="center"/>
              <w:rPr>
                <w:rFonts w:hint="eastAsia" w:ascii="仿宋" w:hAnsi="仿宋" w:eastAsia="仿宋" w:cs="仿宋"/>
                <w:color w:val="auto"/>
                <w:kern w:val="0"/>
                <w:sz w:val="32"/>
                <w:szCs w:val="32"/>
              </w:rPr>
            </w:pPr>
          </w:p>
        </w:tc>
        <w:tc>
          <w:tcPr>
            <w:tcW w:w="1319"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预算数（A）</w:t>
            </w:r>
          </w:p>
        </w:tc>
        <w:tc>
          <w:tcPr>
            <w:tcW w:w="1317"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执行数（B）</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执行率（B/A）</w:t>
            </w:r>
          </w:p>
        </w:tc>
        <w:tc>
          <w:tcPr>
            <w:tcW w:w="219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年度财政资金总额</w:t>
            </w:r>
          </w:p>
        </w:tc>
        <w:tc>
          <w:tcPr>
            <w:tcW w:w="1319"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w:t>
            </w:r>
          </w:p>
        </w:tc>
        <w:tc>
          <w:tcPr>
            <w:tcW w:w="1317"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6.38</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70.89%</w:t>
            </w:r>
          </w:p>
        </w:tc>
        <w:tc>
          <w:tcPr>
            <w:tcW w:w="2196" w:type="dxa"/>
            <w:gridSpan w:val="3"/>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年度绩效目标</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w:t>
            </w:r>
            <w:r>
              <w:rPr>
                <w:rFonts w:hint="eastAsia" w:ascii="仿宋" w:hAnsi="仿宋" w:eastAsia="仿宋" w:cs="仿宋"/>
                <w:color w:val="auto"/>
                <w:kern w:val="0"/>
                <w:sz w:val="32"/>
                <w:szCs w:val="32"/>
                <w:lang w:val="en-US" w:eastAsia="zh-CN"/>
              </w:rPr>
              <w:t>80</w:t>
            </w:r>
            <w:r>
              <w:rPr>
                <w:rFonts w:hint="eastAsia" w:ascii="仿宋" w:hAnsi="仿宋" w:eastAsia="仿宋" w:cs="仿宋"/>
                <w:color w:val="auto"/>
                <w:kern w:val="0"/>
                <w:sz w:val="32"/>
                <w:szCs w:val="32"/>
              </w:rPr>
              <w:t>分）</w:t>
            </w:r>
          </w:p>
        </w:tc>
        <w:tc>
          <w:tcPr>
            <w:tcW w:w="700" w:type="dxa"/>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一级指标</w:t>
            </w: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二级指标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三级指标</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年初目标值（A）</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实际完成值（B）</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restart"/>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产出指标</w:t>
            </w: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数量指标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全市监督检查单位</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60家</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94家</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质量指标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促进财政监督工作规范化</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时效指标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一年内完成2022年度检查任务</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restart"/>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效益指标</w:t>
            </w:r>
          </w:p>
        </w:tc>
        <w:tc>
          <w:tcPr>
            <w:tcW w:w="1122" w:type="dxa"/>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经济效益指标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规范财务管理，严格财务报销</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财经纪律明显好转</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restart"/>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社会效益指标</w:t>
            </w:r>
          </w:p>
        </w:tc>
        <w:tc>
          <w:tcPr>
            <w:tcW w:w="2636" w:type="dxa"/>
            <w:gridSpan w:val="3"/>
            <w:vAlign w:val="top"/>
          </w:tcPr>
          <w:p>
            <w:pPr>
              <w:jc w:val="center"/>
              <w:rPr>
                <w:rFonts w:hint="eastAsia" w:ascii="仿宋" w:hAnsi="仿宋" w:eastAsia="仿宋" w:cs="仿宋"/>
                <w:color w:val="auto"/>
                <w:kern w:val="0"/>
                <w:sz w:val="32"/>
                <w:szCs w:val="32"/>
              </w:rPr>
            </w:pPr>
            <w:r>
              <w:rPr>
                <w:rFonts w:hint="eastAsia" w:ascii="仿宋" w:hAnsi="仿宋" w:eastAsia="仿宋" w:cs="仿宋"/>
                <w:color w:val="auto"/>
                <w:sz w:val="32"/>
                <w:szCs w:val="32"/>
                <w:lang w:val="en-US" w:eastAsia="zh-CN"/>
              </w:rPr>
              <w:t>加强财政监督管理，完善财政监督管理制度</w:t>
            </w:r>
          </w:p>
        </w:tc>
        <w:tc>
          <w:tcPr>
            <w:tcW w:w="1466" w:type="dxa"/>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sz w:val="32"/>
                <w:szCs w:val="32"/>
                <w:lang w:val="en-US" w:eastAsia="zh-CN"/>
              </w:rPr>
              <w:t>达标</w:t>
            </w:r>
          </w:p>
        </w:tc>
        <w:tc>
          <w:tcPr>
            <w:tcW w:w="1319" w:type="dxa"/>
            <w:gridSpan w:val="2"/>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sz w:val="32"/>
                <w:szCs w:val="32"/>
                <w:lang w:val="en-US" w:eastAsia="zh-CN"/>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rPr>
            </w:pPr>
          </w:p>
        </w:tc>
        <w:tc>
          <w:tcPr>
            <w:tcW w:w="2636" w:type="dxa"/>
            <w:gridSpan w:val="3"/>
            <w:vAlign w:val="top"/>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提高全市预算单位财务规范意识</w:t>
            </w:r>
          </w:p>
        </w:tc>
        <w:tc>
          <w:tcPr>
            <w:tcW w:w="1466" w:type="dxa"/>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sz w:val="32"/>
                <w:szCs w:val="32"/>
                <w:lang w:val="en-US" w:eastAsia="zh-CN"/>
              </w:rPr>
              <w:t>达标</w:t>
            </w:r>
          </w:p>
        </w:tc>
        <w:tc>
          <w:tcPr>
            <w:tcW w:w="1319" w:type="dxa"/>
            <w:gridSpan w:val="2"/>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sz w:val="32"/>
                <w:szCs w:val="32"/>
                <w:lang w:val="en-US" w:eastAsia="zh-CN"/>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总分</w:t>
            </w:r>
          </w:p>
        </w:tc>
        <w:tc>
          <w:tcPr>
            <w:tcW w:w="8120" w:type="dxa"/>
            <w:gridSpan w:val="9"/>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94.18分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0"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偏差大或</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目标未完成</w:t>
            </w:r>
          </w:p>
          <w:p>
            <w:pPr>
              <w:widowControl/>
              <w:jc w:val="both"/>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原因分析</w:t>
            </w:r>
          </w:p>
        </w:tc>
        <w:tc>
          <w:tcPr>
            <w:tcW w:w="7420" w:type="dxa"/>
            <w:gridSpan w:val="8"/>
            <w:vAlign w:val="center"/>
          </w:tcPr>
          <w:p>
            <w:pPr>
              <w:widowControl/>
              <w:ind w:firstLine="640" w:firstLineChars="200"/>
              <w:jc w:val="left"/>
              <w:rPr>
                <w:rFonts w:hint="eastAsia" w:ascii="仿宋" w:hAnsi="仿宋" w:eastAsia="仿宋" w:cs="仿宋"/>
                <w:color w:val="auto"/>
                <w:kern w:val="0"/>
                <w:sz w:val="32"/>
                <w:szCs w:val="32"/>
              </w:rPr>
            </w:pPr>
            <w:r>
              <w:rPr>
                <w:rFonts w:hint="eastAsia" w:ascii="仿宋" w:hAnsi="仿宋" w:eastAsia="仿宋" w:cs="仿宋"/>
                <w:color w:val="auto"/>
                <w:sz w:val="32"/>
                <w:szCs w:val="32"/>
                <w:lang w:val="en-US" w:eastAsia="zh-CN"/>
              </w:rPr>
              <w:t>制定合理的项目经费预算指标难度大。构建科学、规范的项目支出绩效评价指标是绩效评价体系的核心和关键，直接关系到财政局机关支出绩效的工作成效。2022年度，受新冠疫情常态化管控措施影响下，相关培训事项以及监督检查工作无法按计划实施，导致部分项目经费预算未能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5"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改进措施及</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结果应用方案</w:t>
            </w:r>
          </w:p>
        </w:tc>
        <w:tc>
          <w:tcPr>
            <w:tcW w:w="7420" w:type="dxa"/>
            <w:gridSpan w:val="8"/>
            <w:vAlign w:val="center"/>
          </w:tcPr>
          <w:p>
            <w:pPr>
              <w:widowControl/>
              <w:ind w:firstLine="640" w:firstLineChars="200"/>
              <w:jc w:val="left"/>
              <w:rPr>
                <w:rFonts w:hint="eastAsia" w:ascii="仿宋" w:hAnsi="仿宋" w:eastAsia="仿宋" w:cs="仿宋"/>
                <w:color w:val="auto"/>
                <w:kern w:val="0"/>
                <w:sz w:val="32"/>
                <w:szCs w:val="32"/>
              </w:rPr>
            </w:pPr>
            <w:r>
              <w:rPr>
                <w:rFonts w:hint="eastAsia" w:ascii="仿宋" w:hAnsi="仿宋" w:eastAsia="仿宋" w:cs="仿宋"/>
                <w:b w:val="0"/>
                <w:bCs w:val="0"/>
                <w:color w:val="auto"/>
                <w:spacing w:val="0"/>
                <w:sz w:val="32"/>
                <w:szCs w:val="32"/>
                <w:lang w:val="en-US" w:eastAsia="zh-CN"/>
              </w:rPr>
              <w:t>进一步加强财监干部队伍能力建设和作风建设，加强财监业务知识学习，定期组织开展财监干部培训，不断提高财政监督干部的综合素质和职业素养，持续提升财监干部队伍的向心力、凝聚力和整体战斗力，加大监督检查力度，扩大监督检查范围，促进财政监督工作健康有序开展。</w:t>
            </w:r>
          </w:p>
        </w:tc>
      </w:tr>
    </w:tbl>
    <w:p>
      <w:pPr>
        <w:pStyle w:val="2"/>
        <w:rPr>
          <w:rFonts w:hint="eastAsia"/>
          <w:color w:val="auto"/>
          <w:lang w:val="en-US" w:eastAsia="zh-CN"/>
        </w:rPr>
      </w:pPr>
    </w:p>
    <w:p>
      <w:pPr>
        <w:rPr>
          <w:color w:val="auto"/>
        </w:rPr>
      </w:pPr>
    </w:p>
    <w:p>
      <w:pPr>
        <w:keepNext w:val="0"/>
        <w:keepLines w:val="0"/>
        <w:pageBreakBefore w:val="0"/>
        <w:numPr>
          <w:ilvl w:val="0"/>
          <w:numId w:val="0"/>
        </w:numPr>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_GB2312" w:hAnsi="仿宋" w:eastAsia="仿宋_GB2312"/>
          <w:bCs w:val="0"/>
          <w:color w:val="auto"/>
          <w:kern w:val="2"/>
          <w:sz w:val="32"/>
          <w:szCs w:val="32"/>
          <w:highlight w:val="none"/>
          <w:lang w:val="en-US" w:eastAsia="zh-CN" w:bidi="ar-SA"/>
        </w:rPr>
      </w:pPr>
      <w:r>
        <w:rPr>
          <w:rFonts w:hint="eastAsia" w:ascii="仿宋_GB2312" w:hAnsi="仿宋" w:eastAsia="仿宋_GB2312"/>
          <w:bCs w:val="0"/>
          <w:color w:val="auto"/>
          <w:kern w:val="2"/>
          <w:sz w:val="32"/>
          <w:szCs w:val="32"/>
          <w:highlight w:val="none"/>
          <w:lang w:val="en-US" w:eastAsia="zh-CN" w:bidi="ar-SA"/>
        </w:rPr>
        <w:t>4.办公区域管理购买服务费用：</w:t>
      </w:r>
      <w:r>
        <w:rPr>
          <w:rFonts w:hint="eastAsia" w:ascii="仿宋" w:hAnsi="仿宋" w:eastAsia="仿宋" w:cs="仿宋"/>
          <w:color w:val="auto"/>
          <w:sz w:val="32"/>
          <w:szCs w:val="32"/>
          <w:highlight w:val="none"/>
          <w:lang w:eastAsia="zh-CN"/>
        </w:rPr>
        <w:t>年初预算</w:t>
      </w:r>
      <w:r>
        <w:rPr>
          <w:rFonts w:hint="eastAsia" w:ascii="仿宋" w:hAnsi="仿宋" w:eastAsia="仿宋" w:cs="仿宋"/>
          <w:color w:val="auto"/>
          <w:sz w:val="32"/>
          <w:szCs w:val="32"/>
          <w:highlight w:val="none"/>
          <w:lang w:val="en-US" w:eastAsia="zh-CN"/>
        </w:rPr>
        <w:t>98万元，</w:t>
      </w:r>
      <w:r>
        <w:rPr>
          <w:rFonts w:hint="eastAsia" w:ascii="仿宋" w:hAnsi="仿宋" w:eastAsia="仿宋" w:cs="仿宋"/>
          <w:color w:val="auto"/>
          <w:sz w:val="32"/>
          <w:szCs w:val="32"/>
          <w:highlight w:val="none"/>
        </w:rPr>
        <w:t>全年</w:t>
      </w:r>
      <w:r>
        <w:rPr>
          <w:rFonts w:hint="eastAsia" w:ascii="仿宋" w:hAnsi="仿宋" w:eastAsia="仿宋" w:cs="仿宋"/>
          <w:color w:val="auto"/>
          <w:sz w:val="32"/>
          <w:szCs w:val="32"/>
          <w:highlight w:val="none"/>
          <w:lang w:eastAsia="zh-CN"/>
        </w:rPr>
        <w:t>使用项目资金</w:t>
      </w:r>
      <w:r>
        <w:rPr>
          <w:rFonts w:hint="eastAsia" w:ascii="仿宋" w:hAnsi="仿宋" w:eastAsia="仿宋" w:cs="仿宋"/>
          <w:color w:val="auto"/>
          <w:spacing w:val="0"/>
          <w:sz w:val="32"/>
          <w:szCs w:val="32"/>
          <w:highlight w:val="none"/>
          <w:lang w:val="en-US" w:eastAsia="zh-CN"/>
        </w:rPr>
        <w:t>93.85万</w:t>
      </w:r>
      <w:r>
        <w:rPr>
          <w:rFonts w:hint="eastAsia" w:ascii="仿宋" w:hAnsi="仿宋" w:eastAsia="仿宋" w:cs="仿宋"/>
          <w:color w:val="auto"/>
          <w:spacing w:val="0"/>
          <w:sz w:val="32"/>
          <w:szCs w:val="32"/>
          <w:highlight w:val="none"/>
          <w:lang w:eastAsia="zh-CN"/>
        </w:rPr>
        <w:t>元，执行率</w:t>
      </w:r>
      <w:r>
        <w:rPr>
          <w:rFonts w:hint="eastAsia" w:ascii="仿宋" w:hAnsi="仿宋" w:eastAsia="仿宋" w:cs="仿宋"/>
          <w:color w:val="auto"/>
          <w:spacing w:val="0"/>
          <w:sz w:val="32"/>
          <w:szCs w:val="32"/>
          <w:highlight w:val="none"/>
          <w:lang w:val="en-US" w:eastAsia="zh-CN"/>
        </w:rPr>
        <w:t>95.76%</w:t>
      </w:r>
      <w:r>
        <w:rPr>
          <w:rFonts w:hint="eastAsia" w:ascii="仿宋_GB2312" w:hAnsi="仿宋" w:eastAsia="仿宋_GB2312"/>
          <w:bCs w:val="0"/>
          <w:color w:val="auto"/>
          <w:kern w:val="2"/>
          <w:sz w:val="32"/>
          <w:szCs w:val="32"/>
          <w:highlight w:val="none"/>
          <w:lang w:val="en-US" w:eastAsia="zh-CN" w:bidi="ar-SA"/>
        </w:rPr>
        <w:t>。</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_GB2312" w:hAnsi="仿宋" w:eastAsia="仿宋_GB2312"/>
          <w:bCs w:val="0"/>
          <w:color w:val="auto"/>
          <w:kern w:val="2"/>
          <w:sz w:val="32"/>
          <w:szCs w:val="32"/>
          <w:highlight w:val="none"/>
          <w:lang w:val="en-US" w:eastAsia="zh-CN" w:bidi="ar-SA"/>
        </w:rPr>
      </w:pPr>
      <w:r>
        <w:rPr>
          <w:rFonts w:hint="eastAsia" w:ascii="仿宋" w:hAnsi="仿宋" w:eastAsia="仿宋" w:cs="仿宋"/>
          <w:color w:val="auto"/>
          <w:sz w:val="32"/>
          <w:szCs w:val="32"/>
          <w:highlight w:val="none"/>
          <w:lang w:eastAsia="zh-CN"/>
        </w:rPr>
        <w:t>主要产出和效果：</w:t>
      </w:r>
      <w:r>
        <w:rPr>
          <w:rFonts w:hint="eastAsia" w:ascii="仿宋_GB2312" w:hAnsi="仿宋" w:eastAsia="仿宋_GB2312"/>
          <w:bCs w:val="0"/>
          <w:color w:val="auto"/>
          <w:kern w:val="2"/>
          <w:sz w:val="32"/>
          <w:szCs w:val="32"/>
          <w:highlight w:val="none"/>
          <w:lang w:val="en-US" w:eastAsia="zh-CN" w:bidi="ar-SA"/>
        </w:rPr>
        <w:t>办公区域环境干净整洁大方,提升了我局的形象；在疫情防控常态化要求下，保洁员每日定时对办公楼、附楼大厅、楼道、电梯及卫生间等区域进行消杀，保安每日对外来办事人员进行体温测量及登记工作，为服务对象提供一个安全卫生的环境。</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发现的问题及原因：无。</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color w:val="auto"/>
          <w:spacing w:val="0"/>
          <w:sz w:val="32"/>
          <w:szCs w:val="32"/>
          <w:highlight w:val="none"/>
          <w:lang w:val="en-US" w:eastAsia="zh-CN"/>
        </w:rPr>
      </w:pPr>
      <w:r>
        <w:rPr>
          <w:rFonts w:hint="eastAsia" w:ascii="仿宋" w:hAnsi="仿宋" w:eastAsia="仿宋" w:cs="仿宋"/>
          <w:color w:val="auto"/>
          <w:spacing w:val="0"/>
          <w:sz w:val="32"/>
          <w:szCs w:val="32"/>
          <w:highlight w:val="none"/>
          <w:lang w:val="en-US" w:eastAsia="zh-CN"/>
        </w:rPr>
        <w:t>下一步改进措施：无。</w:t>
      </w:r>
    </w:p>
    <w:p>
      <w:pPr>
        <w:keepNext w:val="0"/>
        <w:keepLines w:val="0"/>
        <w:pageBreakBefore w:val="0"/>
        <w:tabs>
          <w:tab w:val="left" w:pos="0"/>
        </w:tabs>
        <w:kinsoku/>
        <w:wordWrap/>
        <w:overflowPunct/>
        <w:topLinePunct w:val="0"/>
        <w:bidi w:val="0"/>
        <w:adjustRightInd w:val="0"/>
        <w:snapToGrid w:val="0"/>
        <w:spacing w:beforeAutospacing="0" w:line="560" w:lineRule="exact"/>
        <w:ind w:firstLine="640" w:firstLineChars="200"/>
        <w:jc w:val="both"/>
        <w:textAlignment w:val="center"/>
        <w:outlineLvl w:val="9"/>
        <w:rPr>
          <w:rFonts w:hint="eastAsia" w:ascii="仿宋" w:hAnsi="仿宋" w:eastAsia="仿宋" w:cs="仿宋"/>
          <w:b w:val="0"/>
          <w:bCs w:val="0"/>
          <w:color w:val="auto"/>
          <w:spacing w:val="0"/>
          <w:sz w:val="32"/>
          <w:szCs w:val="32"/>
          <w:highlight w:val="none"/>
          <w:lang w:val="en-US" w:eastAsia="zh-CN"/>
        </w:rPr>
      </w:pPr>
      <w:r>
        <w:rPr>
          <w:rFonts w:hint="eastAsia" w:ascii="仿宋" w:hAnsi="仿宋" w:eastAsia="仿宋" w:cs="仿宋"/>
          <w:b w:val="0"/>
          <w:bCs w:val="0"/>
          <w:color w:val="auto"/>
          <w:spacing w:val="0"/>
          <w:sz w:val="32"/>
          <w:szCs w:val="32"/>
          <w:highlight w:val="none"/>
          <w:lang w:val="en-US" w:eastAsia="zh-CN"/>
        </w:rPr>
        <w:t>附：2022年度办公区域管理购买服务费用项目自评表</w:t>
      </w:r>
    </w:p>
    <w:tbl>
      <w:tblPr>
        <w:tblStyle w:val="7"/>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700"/>
        <w:gridCol w:w="1122"/>
        <w:gridCol w:w="1319"/>
        <w:gridCol w:w="923"/>
        <w:gridCol w:w="394"/>
        <w:gridCol w:w="1466"/>
        <w:gridCol w:w="660"/>
        <w:gridCol w:w="659"/>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项目名称</w:t>
            </w:r>
          </w:p>
        </w:tc>
        <w:tc>
          <w:tcPr>
            <w:tcW w:w="7420" w:type="dxa"/>
            <w:gridSpan w:val="8"/>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办公区域管理购买服务</w:t>
            </w:r>
            <w:r>
              <w:rPr>
                <w:rFonts w:hint="eastAsia" w:ascii="仿宋" w:hAnsi="仿宋" w:eastAsia="仿宋" w:cs="仿宋"/>
                <w:color w:val="auto"/>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主管部门</w:t>
            </w:r>
          </w:p>
        </w:tc>
        <w:tc>
          <w:tcPr>
            <w:tcW w:w="3364" w:type="dxa"/>
            <w:gridSpan w:val="3"/>
            <w:vAlign w:val="center"/>
          </w:tcPr>
          <w:p>
            <w:pPr>
              <w:widowControl/>
              <w:snapToGrid w:val="0"/>
              <w:jc w:val="left"/>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黄石市财政局</w:t>
            </w:r>
          </w:p>
        </w:tc>
        <w:tc>
          <w:tcPr>
            <w:tcW w:w="2520"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项目实施单位</w:t>
            </w:r>
          </w:p>
        </w:tc>
        <w:tc>
          <w:tcPr>
            <w:tcW w:w="1536"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黄石市财政局</w:t>
            </w:r>
            <w:r>
              <w:rPr>
                <w:rFonts w:hint="eastAsia" w:ascii="仿宋" w:hAnsi="仿宋" w:eastAsia="仿宋" w:cs="仿宋"/>
                <w:color w:val="auto"/>
                <w:kern w:val="0"/>
                <w:sz w:val="32"/>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项目类别</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1、部门预算项目   √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2、市直专项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项目属性</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1、持续性项目     √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 2、新增性项目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项目类型</w:t>
            </w:r>
          </w:p>
        </w:tc>
        <w:tc>
          <w:tcPr>
            <w:tcW w:w="7420" w:type="dxa"/>
            <w:gridSpan w:val="8"/>
            <w:vAlign w:val="center"/>
          </w:tcPr>
          <w:p>
            <w:pPr>
              <w:widowControl/>
              <w:snapToGrid w:val="0"/>
              <w:jc w:val="left"/>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 xml:space="preserve">1、常年性项目     √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2、延续性项目 □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3、一次性项目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预算执行情况（万元）</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w:t>
            </w:r>
          </w:p>
        </w:tc>
        <w:tc>
          <w:tcPr>
            <w:tcW w:w="1122" w:type="dxa"/>
            <w:vAlign w:val="center"/>
          </w:tcPr>
          <w:p>
            <w:pPr>
              <w:widowControl/>
              <w:snapToGrid w:val="0"/>
              <w:jc w:val="center"/>
              <w:rPr>
                <w:rFonts w:hint="eastAsia" w:ascii="仿宋" w:hAnsi="仿宋" w:eastAsia="仿宋" w:cs="仿宋"/>
                <w:color w:val="auto"/>
                <w:kern w:val="0"/>
                <w:sz w:val="32"/>
                <w:szCs w:val="32"/>
              </w:rPr>
            </w:pPr>
          </w:p>
        </w:tc>
        <w:tc>
          <w:tcPr>
            <w:tcW w:w="1319"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预算数（A）</w:t>
            </w:r>
          </w:p>
        </w:tc>
        <w:tc>
          <w:tcPr>
            <w:tcW w:w="1317"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执行数（B）</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执行率（B/A）</w:t>
            </w:r>
          </w:p>
        </w:tc>
        <w:tc>
          <w:tcPr>
            <w:tcW w:w="219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（20分*执行率）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28" w:type="dxa"/>
            <w:gridSpan w:val="2"/>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年度财政资金总额</w:t>
            </w:r>
          </w:p>
        </w:tc>
        <w:tc>
          <w:tcPr>
            <w:tcW w:w="1319"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98</w:t>
            </w:r>
          </w:p>
        </w:tc>
        <w:tc>
          <w:tcPr>
            <w:tcW w:w="1317"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93.85</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95.76%</w:t>
            </w:r>
          </w:p>
        </w:tc>
        <w:tc>
          <w:tcPr>
            <w:tcW w:w="2196" w:type="dxa"/>
            <w:gridSpan w:val="3"/>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年度绩效目标1</w:t>
            </w:r>
          </w:p>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w:t>
            </w:r>
            <w:r>
              <w:rPr>
                <w:rFonts w:hint="eastAsia" w:ascii="仿宋" w:hAnsi="仿宋" w:eastAsia="仿宋" w:cs="仿宋"/>
                <w:color w:val="auto"/>
                <w:kern w:val="0"/>
                <w:sz w:val="32"/>
                <w:szCs w:val="32"/>
                <w:lang w:val="en-US" w:eastAsia="zh-CN"/>
              </w:rPr>
              <w:t>80</w:t>
            </w:r>
            <w:r>
              <w:rPr>
                <w:rFonts w:hint="eastAsia" w:ascii="仿宋" w:hAnsi="仿宋" w:eastAsia="仿宋" w:cs="仿宋"/>
                <w:color w:val="auto"/>
                <w:kern w:val="0"/>
                <w:sz w:val="32"/>
                <w:szCs w:val="32"/>
              </w:rPr>
              <w:t>分）</w:t>
            </w:r>
          </w:p>
        </w:tc>
        <w:tc>
          <w:tcPr>
            <w:tcW w:w="700" w:type="dxa"/>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一级指标</w:t>
            </w: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二级指标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三级指标</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年初目标值（A）</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实际完成值（B）</w:t>
            </w:r>
          </w:p>
        </w:tc>
        <w:tc>
          <w:tcPr>
            <w:tcW w:w="877"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restart"/>
            <w:vAlign w:val="center"/>
          </w:tcPr>
          <w:p>
            <w:pPr>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产出指标</w:t>
            </w:r>
          </w:p>
        </w:tc>
        <w:tc>
          <w:tcPr>
            <w:tcW w:w="1122" w:type="dxa"/>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数量指标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设置保安门岗（个）</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4</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4</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白天当班人员（个）</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4</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4</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夜间当班人员（个）</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5</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巡逻频次（天）</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12</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12</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应急电话保持通话时间（小时/天）</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24</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24</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全天值守时间</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365天</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365天</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restart"/>
            <w:vAlign w:val="center"/>
          </w:tcPr>
          <w:p>
            <w:pPr>
              <w:keepNext w:val="0"/>
              <w:keepLines w:val="0"/>
              <w:widowControl/>
              <w:suppressLineNumbers w:val="0"/>
              <w:jc w:val="center"/>
              <w:textAlignment w:val="center"/>
              <w:rPr>
                <w:rFonts w:hint="eastAsia" w:ascii="仿宋" w:hAnsi="仿宋" w:eastAsia="仿宋" w:cs="仿宋"/>
                <w:color w:val="auto"/>
                <w:kern w:val="0"/>
                <w:sz w:val="32"/>
                <w:szCs w:val="32"/>
              </w:rPr>
            </w:pPr>
            <w:r>
              <w:rPr>
                <w:rFonts w:hint="eastAsia" w:ascii="仿宋" w:hAnsi="仿宋" w:eastAsia="仿宋" w:cs="仿宋"/>
                <w:i w:val="0"/>
                <w:color w:val="auto"/>
                <w:kern w:val="0"/>
                <w:sz w:val="32"/>
                <w:szCs w:val="32"/>
                <w:u w:val="none"/>
                <w:lang w:val="en-US" w:eastAsia="zh-CN" w:bidi="ar"/>
              </w:rPr>
              <w:t>质量指标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保洁工作抽查合格率</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≥95%</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100%</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Merge w:val="continue"/>
            <w:vAlign w:val="center"/>
          </w:tcPr>
          <w:p>
            <w:pPr>
              <w:widowControl/>
              <w:snapToGrid w:val="0"/>
              <w:jc w:val="center"/>
              <w:rPr>
                <w:rFonts w:hint="eastAsia" w:ascii="仿宋" w:hAnsi="仿宋" w:eastAsia="仿宋" w:cs="仿宋"/>
                <w:color w:val="auto"/>
                <w:kern w:val="0"/>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安保工作抽查合格率</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100</w:t>
            </w:r>
            <w:r>
              <w:rPr>
                <w:rFonts w:hint="eastAsia" w:ascii="仿宋" w:hAnsi="仿宋" w:eastAsia="仿宋" w:cs="仿宋"/>
                <w:color w:val="auto"/>
                <w:kern w:val="0"/>
                <w:sz w:val="32"/>
                <w:szCs w:val="32"/>
              </w:rPr>
              <w:t>%</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100%</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成本指标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物业服务费用</w:t>
            </w:r>
          </w:p>
        </w:tc>
        <w:tc>
          <w:tcPr>
            <w:tcW w:w="1466"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≤100万元</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93.85万元</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ind w:left="210" w:hanging="320" w:hangingChars="100"/>
              <w:jc w:val="both"/>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社会效益指标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提升机关服务形象</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基本</w:t>
            </w:r>
            <w:r>
              <w:rPr>
                <w:rFonts w:hint="eastAsia" w:ascii="仿宋" w:hAnsi="仿宋" w:eastAsia="仿宋" w:cs="仿宋"/>
                <w:color w:val="auto"/>
                <w:kern w:val="0"/>
                <w:sz w:val="32"/>
                <w:szCs w:val="32"/>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continue"/>
            <w:vAlign w:val="center"/>
          </w:tcPr>
          <w:p>
            <w:pPr>
              <w:widowControl/>
              <w:snapToGrid w:val="0"/>
              <w:jc w:val="center"/>
              <w:rPr>
                <w:rFonts w:hint="eastAsia" w:ascii="仿宋" w:hAnsi="仿宋" w:eastAsia="仿宋" w:cs="仿宋"/>
                <w:color w:val="auto"/>
                <w:kern w:val="0"/>
                <w:sz w:val="32"/>
                <w:szCs w:val="32"/>
              </w:rPr>
            </w:pPr>
          </w:p>
        </w:tc>
        <w:tc>
          <w:tcPr>
            <w:tcW w:w="1122"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环境效益指标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优化</w:t>
            </w:r>
            <w:r>
              <w:rPr>
                <w:rFonts w:hint="eastAsia" w:ascii="仿宋" w:hAnsi="仿宋" w:eastAsia="仿宋" w:cs="仿宋"/>
                <w:color w:val="auto"/>
                <w:kern w:val="0"/>
                <w:sz w:val="32"/>
                <w:szCs w:val="32"/>
                <w:lang w:eastAsia="zh-CN"/>
              </w:rPr>
              <w:t>机关</w:t>
            </w:r>
            <w:r>
              <w:rPr>
                <w:rFonts w:hint="eastAsia" w:ascii="仿宋" w:hAnsi="仿宋" w:eastAsia="仿宋" w:cs="仿宋"/>
                <w:color w:val="auto"/>
                <w:kern w:val="0"/>
                <w:sz w:val="32"/>
                <w:szCs w:val="32"/>
              </w:rPr>
              <w:t>办公环境</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达标</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基本</w:t>
            </w:r>
            <w:r>
              <w:rPr>
                <w:rFonts w:hint="eastAsia" w:ascii="仿宋" w:hAnsi="仿宋" w:eastAsia="仿宋" w:cs="仿宋"/>
                <w:color w:val="auto"/>
                <w:kern w:val="0"/>
                <w:sz w:val="32"/>
                <w:szCs w:val="32"/>
              </w:rPr>
              <w:t>达标</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828" w:type="dxa"/>
            <w:vMerge w:val="continue"/>
            <w:vAlign w:val="center"/>
          </w:tcPr>
          <w:p>
            <w:pPr>
              <w:widowControl/>
              <w:snapToGrid w:val="0"/>
              <w:jc w:val="center"/>
              <w:rPr>
                <w:rFonts w:hint="eastAsia" w:ascii="仿宋" w:hAnsi="仿宋" w:eastAsia="仿宋" w:cs="仿宋"/>
                <w:color w:val="auto"/>
                <w:kern w:val="0"/>
                <w:sz w:val="32"/>
                <w:szCs w:val="32"/>
              </w:rPr>
            </w:pPr>
          </w:p>
        </w:tc>
        <w:tc>
          <w:tcPr>
            <w:tcW w:w="700" w:type="dxa"/>
            <w:vMerge w:val="restart"/>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满意度指标</w:t>
            </w:r>
          </w:p>
        </w:tc>
        <w:tc>
          <w:tcPr>
            <w:tcW w:w="1122" w:type="dxa"/>
            <w:vMerge w:val="restart"/>
            <w:vAlign w:val="center"/>
          </w:tcPr>
          <w:p>
            <w:pPr>
              <w:widowControl/>
              <w:snapToGrid w:val="0"/>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具体指标</w:t>
            </w: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机关人员满意度</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≥9</w:t>
            </w:r>
            <w:r>
              <w:rPr>
                <w:rFonts w:hint="eastAsia" w:ascii="仿宋" w:hAnsi="仿宋" w:eastAsia="仿宋" w:cs="仿宋"/>
                <w:color w:val="auto"/>
                <w:kern w:val="0"/>
                <w:sz w:val="32"/>
                <w:szCs w:val="32"/>
                <w:lang w:val="en-US" w:eastAsia="zh-CN"/>
              </w:rPr>
              <w:t>8</w:t>
            </w:r>
            <w:r>
              <w:rPr>
                <w:rFonts w:hint="eastAsia" w:ascii="仿宋" w:hAnsi="仿宋" w:eastAsia="仿宋" w:cs="仿宋"/>
                <w:color w:val="auto"/>
                <w:kern w:val="0"/>
                <w:sz w:val="32"/>
                <w:szCs w:val="32"/>
              </w:rPr>
              <w:t>%</w:t>
            </w:r>
          </w:p>
        </w:tc>
        <w:tc>
          <w:tcPr>
            <w:tcW w:w="1319" w:type="dxa"/>
            <w:gridSpan w:val="2"/>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100%</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828" w:type="dxa"/>
            <w:vMerge w:val="continue"/>
            <w:vAlign w:val="center"/>
          </w:tcPr>
          <w:p>
            <w:pPr>
              <w:widowControl/>
              <w:snapToGrid w:val="0"/>
              <w:jc w:val="center"/>
              <w:rPr>
                <w:rFonts w:hint="eastAsia" w:ascii="仿宋" w:hAnsi="仿宋" w:eastAsia="仿宋" w:cs="仿宋"/>
                <w:color w:val="auto"/>
                <w:sz w:val="32"/>
                <w:szCs w:val="32"/>
              </w:rPr>
            </w:pPr>
          </w:p>
        </w:tc>
        <w:tc>
          <w:tcPr>
            <w:tcW w:w="700" w:type="dxa"/>
            <w:vMerge w:val="continue"/>
            <w:vAlign w:val="center"/>
          </w:tcPr>
          <w:p>
            <w:pPr>
              <w:widowControl/>
              <w:snapToGrid w:val="0"/>
              <w:jc w:val="center"/>
              <w:rPr>
                <w:rFonts w:hint="eastAsia" w:ascii="仿宋" w:hAnsi="仿宋" w:eastAsia="仿宋" w:cs="仿宋"/>
                <w:color w:val="auto"/>
                <w:sz w:val="32"/>
                <w:szCs w:val="32"/>
              </w:rPr>
            </w:pPr>
          </w:p>
        </w:tc>
        <w:tc>
          <w:tcPr>
            <w:tcW w:w="1122" w:type="dxa"/>
            <w:vMerge w:val="continue"/>
            <w:vAlign w:val="center"/>
          </w:tcPr>
          <w:p>
            <w:pPr>
              <w:widowControl/>
              <w:snapToGrid w:val="0"/>
              <w:jc w:val="center"/>
              <w:rPr>
                <w:rFonts w:hint="eastAsia" w:ascii="仿宋" w:hAnsi="仿宋" w:eastAsia="仿宋" w:cs="仿宋"/>
                <w:color w:val="auto"/>
                <w:sz w:val="32"/>
                <w:szCs w:val="32"/>
              </w:rPr>
            </w:pPr>
          </w:p>
        </w:tc>
        <w:tc>
          <w:tcPr>
            <w:tcW w:w="2636" w:type="dxa"/>
            <w:gridSpan w:val="3"/>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服务对象满意度</w:t>
            </w:r>
          </w:p>
        </w:tc>
        <w:tc>
          <w:tcPr>
            <w:tcW w:w="1466"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≥9</w:t>
            </w:r>
            <w:r>
              <w:rPr>
                <w:rFonts w:hint="eastAsia" w:ascii="仿宋" w:hAnsi="仿宋" w:eastAsia="仿宋" w:cs="仿宋"/>
                <w:color w:val="auto"/>
                <w:kern w:val="0"/>
                <w:sz w:val="32"/>
                <w:szCs w:val="32"/>
                <w:lang w:val="en-US" w:eastAsia="zh-CN"/>
              </w:rPr>
              <w:t>8</w:t>
            </w:r>
            <w:r>
              <w:rPr>
                <w:rFonts w:hint="eastAsia" w:ascii="仿宋" w:hAnsi="仿宋" w:eastAsia="仿宋" w:cs="仿宋"/>
                <w:color w:val="auto"/>
                <w:kern w:val="0"/>
                <w:sz w:val="32"/>
                <w:szCs w:val="32"/>
              </w:rPr>
              <w:t>%</w:t>
            </w:r>
          </w:p>
        </w:tc>
        <w:tc>
          <w:tcPr>
            <w:tcW w:w="1319" w:type="dxa"/>
            <w:gridSpan w:val="2"/>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val="en-US" w:eastAsia="zh-CN"/>
              </w:rPr>
              <w:t>100%</w:t>
            </w:r>
          </w:p>
        </w:tc>
        <w:tc>
          <w:tcPr>
            <w:tcW w:w="877" w:type="dxa"/>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28" w:type="dxa"/>
            <w:vAlign w:val="center"/>
          </w:tcPr>
          <w:p>
            <w:pPr>
              <w:widowControl/>
              <w:snapToGrid w:val="0"/>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总分</w:t>
            </w:r>
          </w:p>
        </w:tc>
        <w:tc>
          <w:tcPr>
            <w:tcW w:w="8120" w:type="dxa"/>
            <w:gridSpan w:val="9"/>
            <w:vAlign w:val="center"/>
          </w:tcPr>
          <w:p>
            <w:pPr>
              <w:widowControl/>
              <w:snapToGrid w:val="0"/>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97.15分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0"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偏差大或</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目标未完成</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原因分析</w:t>
            </w:r>
          </w:p>
        </w:tc>
        <w:tc>
          <w:tcPr>
            <w:tcW w:w="7420" w:type="dxa"/>
            <w:gridSpan w:val="8"/>
            <w:vAlign w:val="center"/>
          </w:tcPr>
          <w:p>
            <w:pPr>
              <w:widowControl/>
              <w:jc w:val="center"/>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5" w:hRule="atLeast"/>
          <w:jc w:val="center"/>
        </w:trPr>
        <w:tc>
          <w:tcPr>
            <w:tcW w:w="1528" w:type="dxa"/>
            <w:gridSpan w:val="2"/>
            <w:vAlign w:val="center"/>
          </w:tcPr>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改进措施及</w:t>
            </w:r>
          </w:p>
          <w:p>
            <w:pPr>
              <w:widowControl/>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结果应用方案</w:t>
            </w:r>
          </w:p>
        </w:tc>
        <w:tc>
          <w:tcPr>
            <w:tcW w:w="7420" w:type="dxa"/>
            <w:gridSpan w:val="8"/>
            <w:vAlign w:val="center"/>
          </w:tcPr>
          <w:p>
            <w:pPr>
              <w:widowControl/>
              <w:jc w:val="center"/>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t>无</w:t>
            </w:r>
          </w:p>
        </w:tc>
      </w:tr>
    </w:tbl>
    <w:p>
      <w:pPr>
        <w:pStyle w:val="2"/>
        <w:rPr>
          <w:rFonts w:hint="eastAsia"/>
          <w:color w:val="auto"/>
          <w:lang w:val="en-US" w:eastAsia="zh-CN"/>
        </w:rPr>
      </w:pPr>
    </w:p>
    <w:p>
      <w:pPr>
        <w:shd w:val="clear" w:color="auto" w:fill="auto"/>
        <w:spacing w:line="560" w:lineRule="exact"/>
        <w:ind w:firstLine="640"/>
        <w:rPr>
          <w:rFonts w:hint="eastAsia" w:ascii="楷体_GB2312" w:hAnsi="楷体_GB2312" w:eastAsia="楷体_GB2312" w:cs="楷体_GB2312"/>
          <w:bCs/>
          <w:sz w:val="32"/>
          <w:szCs w:val="32"/>
          <w:lang w:eastAsia="zh-CN"/>
        </w:rPr>
      </w:pP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bCs/>
          <w:sz w:val="32"/>
          <w:szCs w:val="32"/>
        </w:rPr>
        <w:t>绩效评价结果应用情况</w:t>
      </w:r>
      <w:r>
        <w:rPr>
          <w:rFonts w:hint="eastAsia" w:ascii="楷体_GB2312" w:hAnsi="楷体_GB2312" w:eastAsia="楷体_GB2312" w:cs="楷体_GB2312"/>
          <w:bCs/>
          <w:sz w:val="32"/>
          <w:szCs w:val="32"/>
          <w:lang w:eastAsia="zh-CN"/>
        </w:rPr>
        <w:t>。</w:t>
      </w:r>
    </w:p>
    <w:p>
      <w:pPr>
        <w:pStyle w:val="3"/>
        <w:ind w:left="0" w:leftChars="0" w:firstLine="640" w:firstLineChars="200"/>
        <w:rPr>
          <w:rFonts w:hint="eastAsia" w:ascii="仿宋_GB2312" w:hAnsi="仿宋" w:eastAsia="仿宋_GB2312"/>
          <w:bCs w:val="0"/>
          <w:color w:val="auto"/>
          <w:kern w:val="2"/>
          <w:sz w:val="32"/>
          <w:szCs w:val="32"/>
          <w:highlight w:val="none"/>
          <w:lang w:val="en-US" w:eastAsia="zh-CN" w:bidi="ar-SA"/>
        </w:rPr>
      </w:pPr>
      <w:r>
        <w:rPr>
          <w:rFonts w:hint="eastAsia" w:ascii="仿宋_GB2312" w:hAnsi="仿宋" w:eastAsia="仿宋_GB2312" w:cs="仿宋"/>
          <w:sz w:val="32"/>
          <w:szCs w:val="32"/>
        </w:rPr>
        <w:t>部门绩效评价结果应用情况。</w:t>
      </w:r>
      <w:r>
        <w:rPr>
          <w:rFonts w:hint="eastAsia" w:ascii="仿宋_GB2312" w:hAnsi="仿宋" w:eastAsia="仿宋_GB2312"/>
          <w:bCs w:val="0"/>
          <w:color w:val="auto"/>
          <w:kern w:val="2"/>
          <w:sz w:val="32"/>
          <w:szCs w:val="32"/>
          <w:highlight w:val="none"/>
          <w:lang w:val="en-US" w:eastAsia="zh-CN" w:bidi="ar-SA"/>
        </w:rPr>
        <w:t>认真落实绩效评价管理信息公开要求。按照规定，在部门决算公开时同步对预算项目绩效评价结果及结果应用情况进行公示，加强社会和舆论监督，提高财政资金使用透明度。</w:t>
      </w:r>
    </w:p>
    <w:p>
      <w:pPr>
        <w:pStyle w:val="3"/>
        <w:rPr>
          <w:rFonts w:hint="eastAsia" w:ascii="仿宋_GB2312" w:hAnsi="仿宋" w:eastAsia="仿宋_GB2312"/>
          <w:bCs w:val="0"/>
          <w:color w:val="auto"/>
          <w:kern w:val="2"/>
          <w:sz w:val="32"/>
          <w:szCs w:val="32"/>
          <w:highlight w:val="none"/>
          <w:lang w:val="en-US" w:eastAsia="zh-CN" w:bidi="ar-SA"/>
        </w:rPr>
      </w:pPr>
      <w:r>
        <w:rPr>
          <w:rFonts w:hint="eastAsia" w:ascii="仿宋_GB2312" w:hAnsi="仿宋" w:eastAsia="仿宋_GB2312" w:cs="仿宋"/>
          <w:sz w:val="32"/>
          <w:szCs w:val="32"/>
        </w:rPr>
        <w:t>部门绩效评价结果拟应用情况。</w:t>
      </w:r>
      <w:r>
        <w:rPr>
          <w:rFonts w:hint="eastAsia" w:ascii="仿宋_GB2312" w:hAnsi="仿宋" w:eastAsia="仿宋_GB2312"/>
          <w:bCs w:val="0"/>
          <w:color w:val="auto"/>
          <w:kern w:val="2"/>
          <w:sz w:val="32"/>
          <w:szCs w:val="32"/>
          <w:highlight w:val="none"/>
          <w:lang w:val="en-US" w:eastAsia="zh-CN" w:bidi="ar-SA"/>
        </w:rPr>
        <w:t>下一步工作中，将以绩效评价结果作为以后年度资金预算安排的重要依据，进一步提升预算绩效管理水平，完善项目绩效目标及指标体系，优化调整资金支出方向，提高资金使用效益，主要包括两个方面：</w:t>
      </w:r>
    </w:p>
    <w:p>
      <w:pPr>
        <w:pStyle w:val="3"/>
        <w:rPr>
          <w:rFonts w:hint="eastAsia" w:ascii="仿宋_GB2312" w:hAnsi="仿宋" w:eastAsia="仿宋_GB2312"/>
          <w:bCs w:val="0"/>
          <w:color w:val="auto"/>
          <w:kern w:val="2"/>
          <w:sz w:val="32"/>
          <w:szCs w:val="32"/>
          <w:highlight w:val="none"/>
          <w:lang w:val="en-US" w:eastAsia="zh-CN" w:bidi="ar-SA"/>
        </w:rPr>
      </w:pPr>
      <w:r>
        <w:rPr>
          <w:rFonts w:hint="eastAsia" w:ascii="仿宋_GB2312" w:hAnsi="仿宋" w:eastAsia="仿宋_GB2312"/>
          <w:bCs w:val="0"/>
          <w:color w:val="auto"/>
          <w:kern w:val="2"/>
          <w:sz w:val="32"/>
          <w:szCs w:val="32"/>
          <w:highlight w:val="none"/>
          <w:lang w:val="en-US" w:eastAsia="zh-CN" w:bidi="ar-SA"/>
        </w:rPr>
        <w:t> 一是加强绩效评价结果与预算安排有机结合。在确定下一年度项目预算资金及使用方向时，充分考虑上一年度资金实际使用情况、绩效评价结果和预算年度项目工作计划，按照“量入为出、收支平衡”的原则，合理安排项目预算，优化资金支出方向，着力提高财政资源配置效率和使用效益。</w:t>
      </w:r>
    </w:p>
    <w:p>
      <w:pPr>
        <w:pStyle w:val="3"/>
        <w:rPr>
          <w:rFonts w:hint="eastAsia" w:ascii="仿宋_GB2312" w:hAnsi="仿宋" w:eastAsia="仿宋_GB2312"/>
          <w:bCs w:val="0"/>
          <w:color w:val="auto"/>
          <w:kern w:val="2"/>
          <w:sz w:val="32"/>
          <w:szCs w:val="32"/>
          <w:highlight w:val="none"/>
          <w:lang w:val="en-US" w:eastAsia="zh-CN" w:bidi="ar-SA"/>
        </w:rPr>
      </w:pPr>
      <w:r>
        <w:rPr>
          <w:rFonts w:hint="eastAsia" w:ascii="仿宋_GB2312" w:hAnsi="仿宋" w:eastAsia="仿宋_GB2312"/>
          <w:bCs w:val="0"/>
          <w:color w:val="auto"/>
          <w:kern w:val="2"/>
          <w:sz w:val="32"/>
          <w:szCs w:val="32"/>
          <w:highlight w:val="none"/>
          <w:lang w:val="en-US" w:eastAsia="zh-CN" w:bidi="ar-SA"/>
        </w:rPr>
        <w:t> 二是调整整合预算项目，完善绩效指标体系。结合绩效评价结果，对性质相同、内容相近的项目进行整合归并，促进项目实现分类分级管理；立足于职能，围绕年度工作任务、支出项目的预期效果，确定合理的绩效目标，完善绩效指标体系，不断提升预算绩效管理水平。</w:t>
      </w:r>
    </w:p>
    <w:p>
      <w:pPr>
        <w:keepNext w:val="0"/>
        <w:keepLines w:val="0"/>
        <w:pageBreakBefore w:val="0"/>
        <w:widowControl w:val="0"/>
        <w:shd w:val="clear" w:color="auto" w:fill="auto"/>
        <w:kinsoku/>
        <w:wordWrap/>
        <w:overflowPunct/>
        <w:topLinePunct w:val="0"/>
        <w:autoSpaceDE/>
        <w:autoSpaceDN/>
        <w:bidi w:val="0"/>
        <w:spacing w:line="360" w:lineRule="auto"/>
        <w:ind w:firstLine="643" w:firstLineChars="200"/>
        <w:jc w:val="both"/>
        <w:textAlignment w:val="auto"/>
        <w:outlineLvl w:val="9"/>
        <w:rPr>
          <w:rFonts w:hint="eastAsia"/>
          <w:b/>
          <w:bCs/>
          <w:lang w:val="en-US" w:eastAsia="zh-CN"/>
        </w:rPr>
      </w:pPr>
      <w:r>
        <w:rPr>
          <w:rFonts w:hint="eastAsia"/>
          <w:b/>
          <w:bCs/>
          <w:lang w:val="en-US" w:eastAsia="zh-CN"/>
        </w:rPr>
        <w:t>十四、专项支出、转移支付支出情况说明</w:t>
      </w:r>
    </w:p>
    <w:p>
      <w:pPr>
        <w:ind w:firstLine="640" w:firstLineChars="200"/>
        <w:rPr>
          <w:rFonts w:hint="eastAsia"/>
          <w:lang w:val="en-US" w:eastAsia="zh-CN"/>
        </w:rPr>
      </w:pPr>
      <w:r>
        <w:rPr>
          <w:rFonts w:hint="eastAsia"/>
          <w:lang w:val="en-US" w:eastAsia="zh-CN"/>
        </w:rPr>
        <w:t>本单位无专项支出、转移支付支出情况。</w:t>
      </w:r>
    </w:p>
    <w:p>
      <w:pPr>
        <w:shd w:val="clear" w:color="auto" w:fill="auto"/>
        <w:spacing w:line="560" w:lineRule="exact"/>
        <w:ind w:firstLine="64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第四部分  名词解释</w:t>
      </w:r>
    </w:p>
    <w:p>
      <w:pPr>
        <w:shd w:val="clear" w:color="auto" w:fill="auto"/>
        <w:spacing w:line="560" w:lineRule="exact"/>
        <w:ind w:firstLine="640"/>
        <w:rPr>
          <w:rFonts w:hint="eastAsia" w:ascii="仿宋_GB2312" w:eastAsia="仿宋_GB2312"/>
          <w:bCs/>
          <w:kern w:val="44"/>
          <w:sz w:val="32"/>
          <w:szCs w:val="32"/>
          <w:highlight w:val="none"/>
          <w:lang w:eastAsia="zh-CN"/>
        </w:rPr>
      </w:pPr>
      <w:r>
        <w:rPr>
          <w:rFonts w:hint="eastAsia" w:ascii="仿宋_GB2312" w:hAnsi="仿宋" w:eastAsia="仿宋_GB2312" w:cs="仿宋"/>
          <w:sz w:val="32"/>
          <w:szCs w:val="32"/>
        </w:rPr>
        <w:t>(一)一般公共预算财政拨款收入：</w:t>
      </w:r>
      <w:r>
        <w:rPr>
          <w:rFonts w:hint="default" w:ascii="仿宋_GB2312" w:hAnsi="仿宋" w:eastAsia="仿宋_GB2312" w:cs="仿宋"/>
          <w:sz w:val="32"/>
          <w:szCs w:val="32"/>
        </w:rPr>
        <w:t>指</w:t>
      </w:r>
      <w:r>
        <w:rPr>
          <w:rFonts w:hint="eastAsia" w:ascii="仿宋_GB2312" w:hAnsi="仿宋" w:cs="仿宋"/>
          <w:sz w:val="32"/>
          <w:szCs w:val="32"/>
          <w:lang w:eastAsia="zh-CN"/>
        </w:rPr>
        <w:t>市</w:t>
      </w:r>
      <w:r>
        <w:rPr>
          <w:rFonts w:hint="eastAsia" w:ascii="仿宋_GB2312" w:eastAsia="仿宋_GB2312"/>
          <w:bCs/>
          <w:kern w:val="44"/>
          <w:sz w:val="32"/>
          <w:szCs w:val="32"/>
          <w:highlight w:val="none"/>
          <w:lang w:eastAsia="zh-CN"/>
        </w:rPr>
        <w:t>级</w:t>
      </w:r>
      <w:r>
        <w:rPr>
          <w:rFonts w:hint="default" w:ascii="仿宋_GB2312" w:eastAsia="仿宋_GB2312"/>
          <w:bCs/>
          <w:kern w:val="44"/>
          <w:sz w:val="32"/>
          <w:szCs w:val="32"/>
          <w:highlight w:val="none"/>
        </w:rPr>
        <w:t>财政</w:t>
      </w:r>
      <w:r>
        <w:rPr>
          <w:rFonts w:hint="eastAsia" w:ascii="仿宋_GB2312" w:eastAsia="仿宋_GB2312"/>
          <w:bCs/>
          <w:kern w:val="44"/>
          <w:sz w:val="32"/>
          <w:szCs w:val="32"/>
          <w:highlight w:val="none"/>
        </w:rPr>
        <w:t>一般公共预算</w:t>
      </w:r>
      <w:r>
        <w:rPr>
          <w:rFonts w:hint="default" w:ascii="仿宋_GB2312" w:eastAsia="仿宋_GB2312"/>
          <w:bCs/>
          <w:kern w:val="44"/>
          <w:sz w:val="32"/>
          <w:szCs w:val="32"/>
          <w:highlight w:val="none"/>
        </w:rPr>
        <w:t>当年拨付的</w:t>
      </w:r>
      <w:r>
        <w:rPr>
          <w:rFonts w:hint="eastAsia" w:ascii="仿宋_GB2312" w:eastAsia="仿宋_GB2312"/>
          <w:bCs/>
          <w:kern w:val="44"/>
          <w:sz w:val="32"/>
          <w:szCs w:val="32"/>
          <w:highlight w:val="none"/>
          <w:lang w:eastAsia="zh-CN"/>
        </w:rPr>
        <w:t>资金。</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二</w:t>
      </w:r>
      <w:r>
        <w:rPr>
          <w:rFonts w:hint="eastAsia" w:ascii="仿宋_GB2312" w:eastAsia="仿宋_GB2312"/>
          <w:bCs/>
          <w:kern w:val="44"/>
          <w:sz w:val="32"/>
          <w:szCs w:val="32"/>
          <w:highlight w:val="none"/>
        </w:rPr>
        <w:t>)政府性基金预算财政拨款收入：</w:t>
      </w:r>
      <w:r>
        <w:rPr>
          <w:rFonts w:hint="default" w:ascii="仿宋_GB2312" w:eastAsia="仿宋_GB2312"/>
          <w:bCs/>
          <w:kern w:val="44"/>
          <w:sz w:val="32"/>
          <w:szCs w:val="32"/>
          <w:highlight w:val="none"/>
        </w:rPr>
        <w:t>指</w:t>
      </w:r>
      <w:r>
        <w:rPr>
          <w:rFonts w:hint="eastAsia" w:ascii="仿宋_GB2312"/>
          <w:bCs/>
          <w:kern w:val="44"/>
          <w:sz w:val="32"/>
          <w:szCs w:val="32"/>
          <w:highlight w:val="none"/>
          <w:lang w:eastAsia="zh-CN"/>
        </w:rPr>
        <w:t>市</w:t>
      </w:r>
      <w:r>
        <w:rPr>
          <w:rFonts w:hint="eastAsia" w:ascii="仿宋_GB2312" w:eastAsia="仿宋_GB2312"/>
          <w:bCs/>
          <w:kern w:val="44"/>
          <w:sz w:val="32"/>
          <w:szCs w:val="32"/>
          <w:highlight w:val="none"/>
          <w:lang w:eastAsia="zh-CN"/>
        </w:rPr>
        <w:t>级</w:t>
      </w:r>
      <w:r>
        <w:rPr>
          <w:rFonts w:hint="default" w:ascii="仿宋_GB2312" w:eastAsia="仿宋_GB2312"/>
          <w:bCs/>
          <w:kern w:val="44"/>
          <w:sz w:val="32"/>
          <w:szCs w:val="32"/>
          <w:highlight w:val="none"/>
        </w:rPr>
        <w:t>财政</w:t>
      </w:r>
      <w:r>
        <w:rPr>
          <w:rFonts w:hint="eastAsia" w:ascii="仿宋_GB2312" w:eastAsia="仿宋_GB2312"/>
          <w:bCs/>
          <w:kern w:val="44"/>
          <w:sz w:val="32"/>
          <w:szCs w:val="32"/>
          <w:highlight w:val="none"/>
        </w:rPr>
        <w:t>政府性基金预算</w:t>
      </w:r>
      <w:r>
        <w:rPr>
          <w:rFonts w:hint="default" w:ascii="仿宋_GB2312" w:eastAsia="仿宋_GB2312"/>
          <w:bCs/>
          <w:kern w:val="44"/>
          <w:sz w:val="32"/>
          <w:szCs w:val="32"/>
          <w:highlight w:val="none"/>
        </w:rPr>
        <w:t>当年拨付的</w:t>
      </w:r>
      <w:r>
        <w:rPr>
          <w:rFonts w:hint="eastAsia" w:ascii="仿宋_GB2312" w:eastAsia="仿宋_GB2312"/>
          <w:bCs/>
          <w:kern w:val="44"/>
          <w:sz w:val="32"/>
          <w:szCs w:val="32"/>
          <w:highlight w:val="none"/>
          <w:lang w:eastAsia="zh-CN"/>
        </w:rPr>
        <w:t>资金。</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三</w:t>
      </w: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国有资本经营</w:t>
      </w:r>
      <w:r>
        <w:rPr>
          <w:rFonts w:hint="eastAsia" w:ascii="仿宋_GB2312" w:eastAsia="仿宋_GB2312"/>
          <w:bCs/>
          <w:kern w:val="44"/>
          <w:sz w:val="32"/>
          <w:szCs w:val="32"/>
          <w:highlight w:val="none"/>
        </w:rPr>
        <w:t>预算财政拨款收入：指</w:t>
      </w:r>
      <w:r>
        <w:rPr>
          <w:rFonts w:hint="eastAsia" w:ascii="仿宋_GB2312"/>
          <w:bCs/>
          <w:kern w:val="44"/>
          <w:sz w:val="32"/>
          <w:szCs w:val="32"/>
          <w:highlight w:val="none"/>
          <w:lang w:eastAsia="zh-CN"/>
        </w:rPr>
        <w:t>市</w:t>
      </w:r>
      <w:r>
        <w:rPr>
          <w:rFonts w:hint="eastAsia" w:ascii="仿宋_GB2312" w:eastAsia="仿宋_GB2312"/>
          <w:bCs/>
          <w:kern w:val="44"/>
          <w:sz w:val="32"/>
          <w:szCs w:val="32"/>
          <w:highlight w:val="none"/>
        </w:rPr>
        <w:t>级财政</w:t>
      </w:r>
      <w:r>
        <w:rPr>
          <w:rFonts w:hint="eastAsia" w:ascii="仿宋_GB2312" w:eastAsia="仿宋_GB2312"/>
          <w:bCs/>
          <w:kern w:val="44"/>
          <w:sz w:val="32"/>
          <w:szCs w:val="32"/>
          <w:highlight w:val="none"/>
          <w:lang w:eastAsia="zh-CN"/>
        </w:rPr>
        <w:t>国有资本经营</w:t>
      </w:r>
      <w:r>
        <w:rPr>
          <w:rFonts w:hint="eastAsia" w:ascii="仿宋_GB2312" w:eastAsia="仿宋_GB2312"/>
          <w:bCs/>
          <w:kern w:val="44"/>
          <w:sz w:val="32"/>
          <w:szCs w:val="32"/>
          <w:highlight w:val="none"/>
        </w:rPr>
        <w:t>预算当年拨付的资金。</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640" w:firstLineChars="200"/>
        <w:textAlignment w:val="auto"/>
        <w:outlineLvl w:val="9"/>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四</w:t>
      </w:r>
      <w:r>
        <w:rPr>
          <w:rFonts w:hint="eastAsia" w:ascii="仿宋_GB2312" w:eastAsia="仿宋_GB2312"/>
          <w:bCs/>
          <w:kern w:val="44"/>
          <w:sz w:val="32"/>
          <w:szCs w:val="32"/>
          <w:highlight w:val="none"/>
        </w:rPr>
        <w:t>)上级补助收入：指从</w:t>
      </w:r>
      <w:r>
        <w:rPr>
          <w:rFonts w:hint="eastAsia" w:ascii="仿宋_GB2312" w:hAnsi="宋体" w:eastAsia="仿宋_GB2312"/>
          <w:sz w:val="32"/>
          <w:szCs w:val="32"/>
          <w:highlight w:val="none"/>
        </w:rPr>
        <w:t>事业单位</w:t>
      </w:r>
      <w:r>
        <w:rPr>
          <w:rFonts w:hint="eastAsia" w:ascii="仿宋_GB2312" w:eastAsia="仿宋_GB2312"/>
          <w:bCs/>
          <w:kern w:val="44"/>
          <w:sz w:val="32"/>
          <w:szCs w:val="32"/>
          <w:highlight w:val="none"/>
        </w:rPr>
        <w:t>主管部门和上级单位取得的非财政补助收入。</w:t>
      </w:r>
    </w:p>
    <w:p>
      <w:pPr>
        <w:pageBreakBefore w:val="0"/>
        <w:widowControl w:val="0"/>
        <w:shd w:val="clear" w:color="auto" w:fill="auto"/>
        <w:kinsoku/>
        <w:wordWrap/>
        <w:overflowPunct/>
        <w:topLinePunct w:val="0"/>
        <w:bidi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五</w:t>
      </w:r>
      <w:r>
        <w:rPr>
          <w:rFonts w:hint="eastAsia" w:ascii="仿宋_GB2312" w:eastAsia="仿宋_GB2312"/>
          <w:bCs/>
          <w:kern w:val="44"/>
          <w:sz w:val="32"/>
          <w:szCs w:val="32"/>
          <w:highlight w:val="none"/>
        </w:rPr>
        <w:t>)事业收入：指事业单位开展专业业务活动及其辅助活动取得的收入。</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六</w:t>
      </w:r>
      <w:r>
        <w:rPr>
          <w:rFonts w:hint="eastAsia" w:ascii="仿宋_GB2312" w:eastAsia="仿宋_GB2312"/>
          <w:bCs/>
          <w:kern w:val="44"/>
          <w:sz w:val="32"/>
          <w:szCs w:val="32"/>
          <w:highlight w:val="none"/>
        </w:rPr>
        <w:t>)经营收入：指事业单位在专业业务活动及其辅助活动之外开展非独立核算经营活动取得的收入。</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hAnsi="宋体" w:eastAsia="仿宋_GB2312"/>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七</w:t>
      </w:r>
      <w:r>
        <w:rPr>
          <w:rFonts w:hint="eastAsia" w:ascii="仿宋_GB2312" w:eastAsia="仿宋_GB2312"/>
          <w:bCs/>
          <w:kern w:val="44"/>
          <w:sz w:val="32"/>
          <w:szCs w:val="32"/>
          <w:highlight w:val="none"/>
        </w:rPr>
        <w:t>)其他收入：指</w:t>
      </w:r>
      <w:r>
        <w:rPr>
          <w:rFonts w:hint="eastAsia" w:ascii="仿宋_GB2312" w:hAnsi="宋体" w:eastAsia="仿宋_GB2312"/>
          <w:sz w:val="32"/>
          <w:szCs w:val="32"/>
          <w:highlight w:val="none"/>
        </w:rPr>
        <w:t>单位取得的除</w:t>
      </w:r>
      <w:r>
        <w:rPr>
          <w:rFonts w:hint="eastAsia" w:ascii="仿宋_GB2312" w:hAnsi="宋体" w:eastAsia="仿宋_GB2312"/>
          <w:sz w:val="32"/>
          <w:szCs w:val="32"/>
          <w:highlight w:val="none"/>
          <w:lang w:eastAsia="zh-CN"/>
        </w:rPr>
        <w:t>上述“一般公共预算财政拨款收入”、“</w:t>
      </w:r>
      <w:r>
        <w:rPr>
          <w:rFonts w:hint="eastAsia" w:ascii="仿宋_GB2312" w:hAnsi="宋体" w:eastAsia="仿宋_GB2312"/>
          <w:sz w:val="32"/>
          <w:szCs w:val="32"/>
          <w:highlight w:val="none"/>
        </w:rPr>
        <w:t>政府性基金</w:t>
      </w:r>
      <w:r>
        <w:rPr>
          <w:rFonts w:hint="eastAsia" w:ascii="仿宋_GB2312" w:eastAsia="仿宋_GB2312"/>
          <w:spacing w:val="6"/>
          <w:sz w:val="32"/>
          <w:szCs w:val="32"/>
          <w:highlight w:val="none"/>
        </w:rPr>
        <w:t>预算</w:t>
      </w:r>
      <w:r>
        <w:rPr>
          <w:rFonts w:hint="eastAsia" w:ascii="仿宋_GB2312" w:eastAsia="仿宋_GB2312"/>
          <w:bCs/>
          <w:kern w:val="44"/>
          <w:sz w:val="32"/>
          <w:szCs w:val="32"/>
          <w:highlight w:val="none"/>
        </w:rPr>
        <w:t>财政拨款收入</w:t>
      </w:r>
      <w:r>
        <w:rPr>
          <w:rFonts w:hint="eastAsia" w:ascii="仿宋_GB2312" w:hAnsi="宋体" w:eastAsia="仿宋_GB2312"/>
          <w:sz w:val="32"/>
          <w:szCs w:val="32"/>
          <w:highlight w:val="none"/>
          <w:lang w:eastAsia="zh-CN"/>
        </w:rPr>
        <w:t>”、“</w:t>
      </w:r>
      <w:r>
        <w:rPr>
          <w:rFonts w:hint="eastAsia" w:ascii="仿宋_GB2312" w:eastAsia="仿宋_GB2312"/>
          <w:bCs/>
          <w:kern w:val="44"/>
          <w:sz w:val="32"/>
          <w:szCs w:val="32"/>
          <w:lang w:eastAsia="zh-CN"/>
        </w:rPr>
        <w:t>国有资本经营</w:t>
      </w:r>
      <w:r>
        <w:rPr>
          <w:rFonts w:hint="eastAsia" w:ascii="仿宋_GB2312" w:eastAsia="仿宋_GB2312"/>
          <w:bCs/>
          <w:kern w:val="44"/>
          <w:sz w:val="32"/>
          <w:szCs w:val="32"/>
        </w:rPr>
        <w:t>预算财政拨款收入</w:t>
      </w:r>
      <w:r>
        <w:rPr>
          <w:rFonts w:hint="eastAsia" w:ascii="仿宋_GB2312" w:hAnsi="宋体" w:eastAsia="仿宋_GB2312"/>
          <w:sz w:val="32"/>
          <w:szCs w:val="32"/>
          <w:highlight w:val="none"/>
          <w:lang w:eastAsia="zh-CN"/>
        </w:rPr>
        <w:t>”、“</w:t>
      </w:r>
      <w:r>
        <w:rPr>
          <w:rFonts w:hint="eastAsia" w:ascii="仿宋_GB2312" w:eastAsia="仿宋_GB2312"/>
          <w:bCs/>
          <w:kern w:val="44"/>
          <w:sz w:val="32"/>
          <w:szCs w:val="32"/>
          <w:highlight w:val="none"/>
        </w:rPr>
        <w:t>上级补助收入</w:t>
      </w:r>
      <w:r>
        <w:rPr>
          <w:rFonts w:hint="eastAsia" w:ascii="仿宋_GB2312" w:hAnsi="宋体" w:eastAsia="仿宋_GB2312"/>
          <w:sz w:val="32"/>
          <w:szCs w:val="32"/>
          <w:highlight w:val="none"/>
          <w:lang w:eastAsia="zh-CN"/>
        </w:rPr>
        <w:t>”、“事业收入”、“经营收入”等</w:t>
      </w:r>
      <w:r>
        <w:rPr>
          <w:rFonts w:hint="eastAsia" w:ascii="仿宋_GB2312" w:hAnsi="宋体" w:eastAsia="仿宋_GB2312"/>
          <w:sz w:val="32"/>
          <w:szCs w:val="32"/>
          <w:highlight w:val="none"/>
        </w:rPr>
        <w:t>收入以外的各项收入</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lang w:val="en-US" w:eastAsia="zh-CN"/>
        </w:rPr>
        <w:t>该</w:t>
      </w:r>
      <w:r>
        <w:rPr>
          <w:rFonts w:hint="eastAsia" w:ascii="仿宋" w:hAnsi="仿宋" w:eastAsia="仿宋" w:cs="仿宋"/>
          <w:sz w:val="32"/>
          <w:szCs w:val="32"/>
          <w:highlight w:val="none"/>
          <w:lang w:val="en-US" w:eastAsia="zh-CN"/>
        </w:rPr>
        <w:t>项名词解</w:t>
      </w:r>
      <w:r>
        <w:rPr>
          <w:rFonts w:hint="eastAsia" w:ascii="仿宋" w:hAnsi="仿宋" w:eastAsia="仿宋" w:cs="仿宋"/>
          <w:sz w:val="32"/>
          <w:szCs w:val="32"/>
          <w:highlight w:val="none"/>
        </w:rPr>
        <w:t>释</w:t>
      </w:r>
      <w:r>
        <w:rPr>
          <w:rFonts w:hint="eastAsia" w:ascii="仿宋" w:hAnsi="仿宋" w:eastAsia="仿宋" w:cs="仿宋"/>
          <w:sz w:val="32"/>
          <w:szCs w:val="32"/>
          <w:highlight w:val="none"/>
          <w:lang w:eastAsia="zh-CN"/>
        </w:rPr>
        <w:t>中“上述……等收入”请依据部门收入的实际情况进行</w:t>
      </w:r>
      <w:r>
        <w:rPr>
          <w:rFonts w:hint="eastAsia" w:ascii="仿宋" w:hAnsi="仿宋" w:eastAsia="仿宋" w:cs="仿宋"/>
          <w:sz w:val="32"/>
          <w:szCs w:val="32"/>
          <w:highlight w:val="none"/>
          <w:lang w:val="en-US" w:eastAsia="zh-CN"/>
        </w:rPr>
        <w:t>解</w:t>
      </w:r>
      <w:r>
        <w:rPr>
          <w:rFonts w:hint="eastAsia" w:ascii="仿宋" w:hAnsi="仿宋" w:eastAsia="仿宋" w:cs="仿宋"/>
          <w:sz w:val="32"/>
          <w:szCs w:val="32"/>
          <w:highlight w:val="none"/>
        </w:rPr>
        <w:t>释</w:t>
      </w:r>
      <w:r>
        <w:rPr>
          <w:rFonts w:hint="eastAsia" w:ascii="仿宋_GB2312" w:hAnsi="宋体" w:eastAsia="仿宋_GB2312"/>
          <w:sz w:val="32"/>
          <w:szCs w:val="32"/>
          <w:highlight w:val="none"/>
          <w:lang w:eastAsia="zh-CN"/>
        </w:rPr>
        <w:t>）</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FangSong_GB2312" w:hAnsi="FangSong_GB2312" w:eastAsia="FangSong_GB2312"/>
          <w:color w:val="000000"/>
          <w:sz w:val="32"/>
          <w:lang w:eastAsia="zh-CN"/>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八</w:t>
      </w: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使用非财政拨款结余</w:t>
      </w:r>
      <w:r>
        <w:rPr>
          <w:rFonts w:hint="eastAsia" w:ascii="仿宋_GB2312" w:eastAsia="仿宋_GB2312"/>
          <w:bCs/>
          <w:kern w:val="44"/>
          <w:sz w:val="32"/>
          <w:szCs w:val="32"/>
          <w:highlight w:val="none"/>
        </w:rPr>
        <w:t>：</w:t>
      </w:r>
      <w:r>
        <w:rPr>
          <w:rFonts w:hint="default" w:ascii="FangSong_GB2312" w:hAnsi="FangSong_GB2312" w:eastAsia="FangSong_GB2312"/>
          <w:color w:val="000000"/>
          <w:sz w:val="32"/>
        </w:rPr>
        <w:t>指事业单位</w:t>
      </w:r>
      <w:r>
        <w:rPr>
          <w:rFonts w:hint="eastAsia" w:ascii="FangSong_GB2312" w:hAnsi="FangSong_GB2312" w:eastAsia="FangSong_GB2312"/>
          <w:color w:val="000000"/>
          <w:sz w:val="32"/>
          <w:lang w:eastAsia="zh-CN"/>
        </w:rPr>
        <w:t>使用以前年度积累的非财政拨款结余弥补当年收支差额的金额。</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九</w:t>
      </w:r>
      <w:r>
        <w:rPr>
          <w:rFonts w:hint="eastAsia" w:ascii="仿宋_GB2312" w:eastAsia="仿宋_GB2312"/>
          <w:bCs/>
          <w:kern w:val="44"/>
          <w:sz w:val="32"/>
          <w:szCs w:val="32"/>
          <w:highlight w:val="none"/>
        </w:rPr>
        <w:t>)年初结转和结余：</w:t>
      </w:r>
      <w:r>
        <w:rPr>
          <w:rFonts w:hint="default" w:ascii="FangSong_GB2312" w:hAnsi="FangSong_GB2312" w:eastAsia="FangSong_GB2312"/>
          <w:color w:val="000000"/>
          <w:sz w:val="32"/>
        </w:rPr>
        <w:t>指</w:t>
      </w:r>
      <w:r>
        <w:rPr>
          <w:rFonts w:hint="eastAsia" w:ascii="FangSong_GB2312" w:hAnsi="FangSong_GB2312" w:eastAsia="FangSong_GB2312"/>
          <w:color w:val="000000"/>
          <w:sz w:val="32"/>
          <w:lang w:eastAsia="zh-CN"/>
        </w:rPr>
        <w:t>单位</w:t>
      </w:r>
      <w:r>
        <w:rPr>
          <w:rFonts w:hint="default" w:ascii="FangSong_GB2312" w:hAnsi="FangSong_GB2312" w:eastAsia="FangSong_GB2312"/>
          <w:color w:val="000000"/>
          <w:sz w:val="32"/>
        </w:rPr>
        <w:t>以前年度</w:t>
      </w:r>
      <w:r>
        <w:rPr>
          <w:rFonts w:hint="eastAsia" w:ascii="FangSong_GB2312" w:hAnsi="FangSong_GB2312" w:eastAsia="FangSong_GB2312"/>
          <w:color w:val="000000"/>
          <w:sz w:val="32"/>
          <w:lang w:eastAsia="zh-CN"/>
        </w:rPr>
        <w:t>尚未完成</w:t>
      </w:r>
      <w:r>
        <w:rPr>
          <w:rFonts w:hint="default" w:ascii="FangSong_GB2312" w:hAnsi="FangSong_GB2312" w:eastAsia="FangSong_GB2312"/>
          <w:color w:val="000000"/>
          <w:sz w:val="32"/>
        </w:rPr>
        <w:t>、结转到本年仍按原规定用途继续使用的资金</w:t>
      </w:r>
      <w:r>
        <w:rPr>
          <w:rFonts w:hint="eastAsia" w:ascii="FangSong_GB2312" w:hAnsi="FangSong_GB2312" w:eastAsia="FangSong_GB2312"/>
          <w:color w:val="000000"/>
          <w:sz w:val="32"/>
          <w:lang w:eastAsia="zh-CN"/>
        </w:rPr>
        <w:t>，或项目已完成等产生的结余资金</w:t>
      </w:r>
      <w:r>
        <w:rPr>
          <w:rFonts w:hint="default" w:ascii="FangSong_GB2312" w:hAnsi="FangSong_GB2312" w:eastAsia="FangSong_GB2312"/>
          <w:color w:val="000000"/>
          <w:sz w:val="32"/>
        </w:rPr>
        <w:t>。</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十</w:t>
      </w:r>
      <w:r>
        <w:rPr>
          <w:rFonts w:hint="eastAsia" w:ascii="仿宋_GB2312" w:eastAsia="仿宋_GB2312"/>
          <w:bCs/>
          <w:kern w:val="44"/>
          <w:sz w:val="32"/>
          <w:szCs w:val="32"/>
          <w:highlight w:val="none"/>
        </w:rPr>
        <w:t>)本部门使用的支出功能分类科目(到项级)</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sz w:val="32"/>
          <w:szCs w:val="32"/>
          <w:highlight w:val="none"/>
        </w:rPr>
      </w:pPr>
      <w:r>
        <w:rPr>
          <w:rFonts w:hint="eastAsia" w:ascii="仿宋_GB2312" w:eastAsia="仿宋_GB2312"/>
          <w:bCs/>
          <w:kern w:val="44"/>
          <w:sz w:val="32"/>
          <w:szCs w:val="32"/>
          <w:highlight w:val="none"/>
        </w:rPr>
        <w:t>1.</w:t>
      </w:r>
      <w:r>
        <w:rPr>
          <w:rFonts w:hint="eastAsia" w:ascii="仿宋_GB2312" w:eastAsia="仿宋_GB2312"/>
          <w:sz w:val="32"/>
          <w:szCs w:val="32"/>
          <w:highlight w:val="none"/>
        </w:rPr>
        <w:t>一般公共服务(类)财政事务(款)行政运行(项)</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sz w:val="32"/>
          <w:szCs w:val="32"/>
          <w:highlight w:val="none"/>
        </w:rPr>
        <w:t>2.…</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sz w:val="32"/>
          <w:szCs w:val="32"/>
          <w:highlight w:val="none"/>
          <w:lang w:eastAsia="zh-CN"/>
        </w:rPr>
      </w:pPr>
      <w:r>
        <w:rPr>
          <w:rFonts w:hint="eastAsia" w:ascii="仿宋_GB2312" w:eastAsia="仿宋_GB2312"/>
          <w:sz w:val="32"/>
          <w:szCs w:val="32"/>
          <w:highlight w:val="none"/>
          <w:lang w:eastAsia="zh-CN"/>
        </w:rPr>
        <w:t>（</w:t>
      </w:r>
      <w:r>
        <w:rPr>
          <w:rFonts w:hint="eastAsia" w:ascii="仿宋_GB2312" w:eastAsia="仿宋_GB2312"/>
          <w:sz w:val="32"/>
          <w:szCs w:val="32"/>
          <w:highlight w:val="none"/>
        </w:rPr>
        <w:t>参考《</w:t>
      </w:r>
      <w:r>
        <w:rPr>
          <w:rFonts w:hint="eastAsia" w:ascii="仿宋_GB2312"/>
          <w:sz w:val="32"/>
          <w:szCs w:val="32"/>
          <w:highlight w:val="none"/>
          <w:lang w:eastAsia="zh-CN"/>
        </w:rPr>
        <w:t>202</w:t>
      </w:r>
      <w:r>
        <w:rPr>
          <w:rFonts w:hint="eastAsia" w:ascii="仿宋_GB2312"/>
          <w:sz w:val="32"/>
          <w:szCs w:val="32"/>
          <w:highlight w:val="none"/>
          <w:lang w:val="en-US" w:eastAsia="zh-CN"/>
        </w:rPr>
        <w:t>2</w:t>
      </w:r>
      <w:r>
        <w:rPr>
          <w:rFonts w:hint="eastAsia" w:ascii="仿宋_GB2312"/>
          <w:sz w:val="32"/>
          <w:szCs w:val="32"/>
          <w:highlight w:val="none"/>
          <w:lang w:eastAsia="zh-CN"/>
        </w:rPr>
        <w:t>年</w:t>
      </w:r>
      <w:r>
        <w:rPr>
          <w:rFonts w:hint="eastAsia" w:ascii="仿宋_GB2312" w:eastAsia="仿宋_GB2312"/>
          <w:sz w:val="32"/>
          <w:szCs w:val="32"/>
          <w:highlight w:val="none"/>
        </w:rPr>
        <w:t>政府收支分类科目》说明逐项解释</w:t>
      </w:r>
      <w:r>
        <w:rPr>
          <w:rFonts w:hint="eastAsia" w:ascii="仿宋_GB2312" w:eastAsia="仿宋_GB2312"/>
          <w:sz w:val="32"/>
          <w:szCs w:val="32"/>
          <w:highlight w:val="none"/>
          <w:lang w:eastAsia="zh-CN"/>
        </w:rPr>
        <w:t>）</w:t>
      </w:r>
    </w:p>
    <w:p>
      <w:pPr>
        <w:pageBreakBefore w:val="0"/>
        <w:widowControl w:val="0"/>
        <w:numPr>
          <w:ilvl w:val="0"/>
          <w:numId w:val="0"/>
        </w:numPr>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(十</w:t>
      </w:r>
      <w:r>
        <w:rPr>
          <w:rFonts w:hint="eastAsia" w:ascii="仿宋_GB2312" w:eastAsia="仿宋_GB2312"/>
          <w:bCs/>
          <w:kern w:val="44"/>
          <w:sz w:val="32"/>
          <w:szCs w:val="32"/>
          <w:highlight w:val="none"/>
          <w:lang w:eastAsia="zh-CN"/>
        </w:rPr>
        <w:t>一</w:t>
      </w:r>
      <w:r>
        <w:rPr>
          <w:rFonts w:hint="eastAsia" w:ascii="仿宋_GB2312" w:eastAsia="仿宋_GB2312"/>
          <w:bCs/>
          <w:kern w:val="44"/>
          <w:sz w:val="32"/>
          <w:szCs w:val="32"/>
          <w:highlight w:val="none"/>
        </w:rPr>
        <w:t>)结余分配：指事业单位按照会计制度规定缴纳</w:t>
      </w:r>
      <w:r>
        <w:rPr>
          <w:rFonts w:hint="eastAsia" w:ascii="仿宋_GB2312" w:eastAsia="仿宋_GB2312"/>
          <w:bCs/>
          <w:kern w:val="44"/>
          <w:sz w:val="32"/>
          <w:szCs w:val="32"/>
          <w:highlight w:val="none"/>
          <w:lang w:eastAsia="zh-CN"/>
        </w:rPr>
        <w:t>的企业</w:t>
      </w:r>
      <w:r>
        <w:rPr>
          <w:rFonts w:hint="eastAsia" w:ascii="仿宋_GB2312" w:eastAsia="仿宋_GB2312"/>
          <w:bCs/>
          <w:kern w:val="44"/>
          <w:sz w:val="32"/>
          <w:szCs w:val="32"/>
          <w:highlight w:val="none"/>
        </w:rPr>
        <w:t>所得税</w:t>
      </w:r>
      <w:r>
        <w:rPr>
          <w:rFonts w:hint="eastAsia" w:ascii="仿宋_GB2312" w:eastAsia="仿宋_GB2312"/>
          <w:bCs/>
          <w:kern w:val="44"/>
          <w:sz w:val="32"/>
          <w:szCs w:val="32"/>
          <w:highlight w:val="none"/>
          <w:lang w:eastAsia="zh-CN"/>
        </w:rPr>
        <w:t>、提取的专用结余以及转入非财政拨款结余的金额</w:t>
      </w:r>
      <w:r>
        <w:rPr>
          <w:rFonts w:hint="eastAsia" w:ascii="仿宋_GB2312" w:eastAsia="仿宋_GB2312"/>
          <w:bCs/>
          <w:kern w:val="44"/>
          <w:sz w:val="32"/>
          <w:szCs w:val="32"/>
          <w:highlight w:val="none"/>
        </w:rPr>
        <w:t>等。</w:t>
      </w:r>
    </w:p>
    <w:p>
      <w:pPr>
        <w:pageBreakBefore w:val="0"/>
        <w:widowControl w:val="0"/>
        <w:numPr>
          <w:ilvl w:val="0"/>
          <w:numId w:val="0"/>
        </w:numPr>
        <w:shd w:val="clear" w:color="auto" w:fill="auto"/>
        <w:kinsoku/>
        <w:wordWrap/>
        <w:overflowPunct/>
        <w:topLinePunct w:val="0"/>
        <w:bidi w:val="0"/>
        <w:adjustRightInd w:val="0"/>
        <w:snapToGrid w:val="0"/>
        <w:spacing w:line="360" w:lineRule="auto"/>
        <w:ind w:firstLine="640" w:firstLineChars="200"/>
        <w:textAlignment w:val="auto"/>
        <w:rPr>
          <w:rFonts w:hint="eastAsia"/>
          <w:szCs w:val="32"/>
          <w:highlight w:val="none"/>
        </w:rPr>
      </w:pPr>
      <w:r>
        <w:rPr>
          <w:rFonts w:hint="eastAsia" w:ascii="仿宋_GB2312" w:eastAsia="仿宋_GB2312"/>
          <w:bCs/>
          <w:kern w:val="44"/>
          <w:sz w:val="32"/>
          <w:szCs w:val="32"/>
          <w:highlight w:val="none"/>
        </w:rPr>
        <w:t>(十</w:t>
      </w:r>
      <w:r>
        <w:rPr>
          <w:rFonts w:hint="eastAsia" w:ascii="仿宋_GB2312" w:eastAsia="仿宋_GB2312"/>
          <w:bCs/>
          <w:kern w:val="44"/>
          <w:sz w:val="32"/>
          <w:szCs w:val="32"/>
          <w:highlight w:val="none"/>
          <w:lang w:eastAsia="zh-CN"/>
        </w:rPr>
        <w:t>二</w:t>
      </w:r>
      <w:r>
        <w:rPr>
          <w:rFonts w:hint="eastAsia" w:ascii="仿宋_GB2312" w:eastAsia="仿宋_GB2312"/>
          <w:bCs/>
          <w:kern w:val="44"/>
          <w:sz w:val="32"/>
          <w:szCs w:val="32"/>
          <w:highlight w:val="none"/>
        </w:rPr>
        <w:t>)年末结转和结余：指单位</w:t>
      </w:r>
      <w:r>
        <w:rPr>
          <w:rFonts w:hint="eastAsia" w:ascii="仿宋_GB2312" w:eastAsia="仿宋_GB2312"/>
          <w:bCs/>
          <w:kern w:val="44"/>
          <w:sz w:val="32"/>
          <w:szCs w:val="32"/>
          <w:highlight w:val="none"/>
          <w:lang w:eastAsia="zh-CN"/>
        </w:rPr>
        <w:t>按有关规定结转到下年或以后年度继续使用的资金</w:t>
      </w:r>
      <w:r>
        <w:rPr>
          <w:rFonts w:hint="eastAsia" w:ascii="仿宋_GB2312" w:eastAsia="仿宋_GB2312"/>
          <w:bCs/>
          <w:kern w:val="44"/>
          <w:sz w:val="32"/>
          <w:szCs w:val="32"/>
          <w:highlight w:val="none"/>
        </w:rPr>
        <w:t>，或项目已完成等产生的结余资金。</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(十</w:t>
      </w:r>
      <w:r>
        <w:rPr>
          <w:rFonts w:hint="eastAsia" w:ascii="仿宋_GB2312" w:eastAsia="仿宋_GB2312"/>
          <w:bCs/>
          <w:kern w:val="44"/>
          <w:sz w:val="32"/>
          <w:szCs w:val="32"/>
          <w:highlight w:val="none"/>
          <w:lang w:eastAsia="zh-CN"/>
        </w:rPr>
        <w:t>三</w:t>
      </w:r>
      <w:r>
        <w:rPr>
          <w:rFonts w:hint="eastAsia" w:ascii="仿宋_GB2312" w:eastAsia="仿宋_GB2312"/>
          <w:bCs/>
          <w:kern w:val="44"/>
          <w:sz w:val="32"/>
          <w:szCs w:val="32"/>
          <w:highlight w:val="none"/>
        </w:rPr>
        <w:t>)基本支出：指为保障机构正常运转、完成日常工作任务而发生的</w:t>
      </w:r>
      <w:r>
        <w:rPr>
          <w:rFonts w:ascii="仿宋_GB2312" w:eastAsia="仿宋_GB2312"/>
          <w:bCs/>
          <w:kern w:val="44"/>
          <w:sz w:val="32"/>
          <w:szCs w:val="32"/>
          <w:highlight w:val="none"/>
        </w:rPr>
        <w:t>人员支出和公用支出</w:t>
      </w:r>
      <w:r>
        <w:rPr>
          <w:rFonts w:hint="eastAsia" w:ascii="仿宋_GB2312" w:eastAsia="仿宋_GB2312"/>
          <w:bCs/>
          <w:kern w:val="44"/>
          <w:sz w:val="32"/>
          <w:szCs w:val="32"/>
          <w:highlight w:val="none"/>
        </w:rPr>
        <w:t>。</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FangSong_GB2312" w:hAnsi="FangSong_GB2312" w:eastAsia="FangSong_GB2312"/>
          <w:color w:val="000000"/>
          <w:sz w:val="32"/>
          <w:szCs w:val="22"/>
        </w:rPr>
      </w:pPr>
      <w:r>
        <w:rPr>
          <w:rFonts w:hint="eastAsia" w:ascii="FangSong_GB2312" w:hAnsi="FangSong_GB2312" w:eastAsia="FangSong_GB2312"/>
          <w:color w:val="000000"/>
          <w:sz w:val="32"/>
          <w:szCs w:val="22"/>
        </w:rPr>
        <w:t>(十</w:t>
      </w:r>
      <w:r>
        <w:rPr>
          <w:rFonts w:hint="eastAsia" w:ascii="FangSong_GB2312" w:hAnsi="FangSong_GB2312" w:eastAsia="FangSong_GB2312"/>
          <w:color w:val="000000"/>
          <w:sz w:val="32"/>
          <w:szCs w:val="22"/>
          <w:lang w:eastAsia="zh-CN"/>
        </w:rPr>
        <w:t>四</w:t>
      </w:r>
      <w:r>
        <w:rPr>
          <w:rFonts w:hint="eastAsia" w:ascii="FangSong_GB2312" w:hAnsi="FangSong_GB2312" w:eastAsia="FangSong_GB2312"/>
          <w:color w:val="000000"/>
          <w:sz w:val="32"/>
          <w:szCs w:val="22"/>
        </w:rPr>
        <w:t>)项目支出：指在基本支出之外为完成特定行政任务或事业发展目标所发生的支出。</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五</w:t>
      </w:r>
      <w:r>
        <w:rPr>
          <w:rFonts w:hint="eastAsia" w:ascii="仿宋_GB2312" w:eastAsia="仿宋_GB2312"/>
          <w:sz w:val="32"/>
          <w:szCs w:val="32"/>
          <w:highlight w:val="none"/>
        </w:rPr>
        <w:t>)</w:t>
      </w:r>
      <w:r>
        <w:rPr>
          <w:rFonts w:hint="eastAsia" w:ascii="仿宋_GB2312" w:eastAsia="仿宋_GB2312"/>
          <w:bCs/>
          <w:kern w:val="44"/>
          <w:sz w:val="32"/>
          <w:szCs w:val="32"/>
          <w:highlight w:val="none"/>
        </w:rPr>
        <w:t>经营支出：指事业单位在专业活动及辅助活动之外开展非独立核算经营活动发生的支出。</w:t>
      </w:r>
    </w:p>
    <w:p>
      <w:pPr>
        <w:pageBreakBefore w:val="0"/>
        <w:widowControl w:val="0"/>
        <w:shd w:val="clear" w:color="auto" w:fill="auto"/>
        <w:kinsoku/>
        <w:wordWrap/>
        <w:overflowPunct/>
        <w:topLinePunct w:val="0"/>
        <w:bidi w:val="0"/>
        <w:adjustRightInd w:val="0"/>
        <w:snapToGrid w:val="0"/>
        <w:spacing w:line="360" w:lineRule="auto"/>
        <w:ind w:firstLine="640" w:firstLineChars="200"/>
        <w:textAlignment w:val="auto"/>
        <w:rPr>
          <w:rFonts w:hint="eastAsia" w:ascii="仿宋_GB2312" w:eastAsia="仿宋_GB2312"/>
          <w:sz w:val="32"/>
          <w:szCs w:val="32"/>
          <w:highlight w:val="yellow"/>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六</w:t>
      </w:r>
      <w:r>
        <w:rPr>
          <w:rFonts w:hint="eastAsia" w:ascii="仿宋_GB2312" w:eastAsia="仿宋_GB2312"/>
          <w:sz w:val="32"/>
          <w:szCs w:val="32"/>
          <w:highlight w:val="none"/>
        </w:rPr>
        <w:t>)“三公”经费：</w:t>
      </w:r>
      <w:r>
        <w:rPr>
          <w:rFonts w:hint="eastAsia" w:ascii="仿宋_GB2312" w:eastAsia="仿宋_GB2312"/>
          <w:sz w:val="32"/>
          <w:szCs w:val="32"/>
          <w:highlight w:val="none"/>
          <w:lang w:eastAsia="zh-CN"/>
        </w:rPr>
        <w:t>纳入</w:t>
      </w:r>
      <w:r>
        <w:rPr>
          <w:rFonts w:hint="eastAsia" w:ascii="仿宋_GB2312"/>
          <w:sz w:val="32"/>
          <w:szCs w:val="32"/>
          <w:highlight w:val="none"/>
          <w:lang w:eastAsia="zh-CN"/>
        </w:rPr>
        <w:t>市级</w:t>
      </w:r>
      <w:r>
        <w:rPr>
          <w:rFonts w:hint="eastAsia" w:ascii="仿宋_GB2312" w:eastAsia="仿宋_GB2312"/>
          <w:sz w:val="32"/>
          <w:szCs w:val="32"/>
          <w:highlight w:val="none"/>
          <w:lang w:eastAsia="zh-CN"/>
        </w:rPr>
        <w:t>财政</w:t>
      </w:r>
      <w:r>
        <w:rPr>
          <w:rFonts w:hint="eastAsia" w:ascii="仿宋_GB2312"/>
          <w:sz w:val="32"/>
          <w:szCs w:val="32"/>
          <w:highlight w:val="none"/>
          <w:lang w:eastAsia="zh-CN"/>
        </w:rPr>
        <w:t>预决算</w:t>
      </w:r>
      <w:r>
        <w:rPr>
          <w:rFonts w:hint="eastAsia" w:ascii="仿宋_GB2312" w:eastAsia="仿宋_GB2312"/>
          <w:sz w:val="32"/>
          <w:szCs w:val="32"/>
          <w:highlight w:val="none"/>
          <w:lang w:eastAsia="zh-CN"/>
        </w:rPr>
        <w:t>管理的</w:t>
      </w:r>
      <w:r>
        <w:rPr>
          <w:rFonts w:hint="eastAsia" w:ascii="仿宋_GB2312" w:eastAsia="仿宋_GB2312"/>
          <w:sz w:val="32"/>
          <w:szCs w:val="32"/>
          <w:highlight w:val="none"/>
        </w:rPr>
        <w:t>“三公”经费</w:t>
      </w:r>
      <w:r>
        <w:rPr>
          <w:rFonts w:hint="eastAsia" w:ascii="仿宋_GB2312" w:eastAsia="仿宋_GB2312"/>
          <w:sz w:val="32"/>
          <w:szCs w:val="32"/>
          <w:highlight w:val="none"/>
          <w:lang w:eastAsia="zh-CN"/>
        </w:rPr>
        <w:t>，是</w:t>
      </w:r>
      <w:r>
        <w:rPr>
          <w:rFonts w:hint="eastAsia" w:ascii="仿宋_GB2312" w:eastAsia="仿宋_GB2312"/>
          <w:sz w:val="32"/>
          <w:szCs w:val="32"/>
          <w:highlight w:val="none"/>
        </w:rPr>
        <w:t>指</w:t>
      </w:r>
      <w:r>
        <w:rPr>
          <w:rFonts w:hint="eastAsia" w:ascii="仿宋_GB2312"/>
          <w:sz w:val="32"/>
          <w:szCs w:val="32"/>
          <w:highlight w:val="none"/>
          <w:lang w:eastAsia="zh-CN"/>
        </w:rPr>
        <w:t>市</w:t>
      </w:r>
      <w:r>
        <w:rPr>
          <w:rFonts w:hint="eastAsia" w:ascii="仿宋_GB2312" w:eastAsia="仿宋_GB2312"/>
          <w:sz w:val="32"/>
          <w:szCs w:val="32"/>
          <w:highlight w:val="none"/>
          <w:lang w:eastAsia="zh-CN"/>
        </w:rPr>
        <w:t>直部门</w:t>
      </w:r>
      <w:r>
        <w:rPr>
          <w:rFonts w:hint="eastAsia" w:ascii="仿宋_GB2312" w:eastAsia="仿宋_GB2312"/>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w:t>
      </w:r>
      <w:r>
        <w:rPr>
          <w:rFonts w:hint="eastAsia" w:ascii="仿宋_GB2312" w:eastAsia="仿宋_GB2312"/>
          <w:sz w:val="32"/>
          <w:szCs w:val="32"/>
          <w:highlight w:val="none"/>
          <w:lang w:eastAsia="zh-CN"/>
        </w:rPr>
        <w:t>、牌照费</w:t>
      </w:r>
      <w:r>
        <w:rPr>
          <w:rFonts w:hint="eastAsia" w:ascii="仿宋_GB2312" w:eastAsia="仿宋_GB2312"/>
          <w:sz w:val="32"/>
          <w:szCs w:val="32"/>
          <w:highlight w:val="none"/>
        </w:rPr>
        <w:t>)及燃料费、维修费、过桥过路费、保险费、安全奖励费用等支出；公务接待费反映单位按规定开支的各类公务接待(含外宾接待)费用。</w:t>
      </w:r>
    </w:p>
    <w:p>
      <w:pPr>
        <w:pageBreakBefore w:val="0"/>
        <w:widowControl w:val="0"/>
        <w:shd w:val="clear" w:color="auto" w:fill="auto"/>
        <w:kinsoku/>
        <w:wordWrap/>
        <w:overflowPunct/>
        <w:topLinePunct w:val="0"/>
        <w:bidi w:val="0"/>
        <w:snapToGrid w:val="0"/>
        <w:spacing w:line="360" w:lineRule="auto"/>
        <w:ind w:firstLine="640" w:firstLineChars="200"/>
        <w:textAlignment w:val="auto"/>
        <w:rPr>
          <w:rFonts w:hint="eastAsia" w:ascii="仿宋_GB2312" w:eastAsia="仿宋_GB2312"/>
          <w:sz w:val="32"/>
          <w:szCs w:val="32"/>
          <w:highlight w:val="yellow"/>
          <w:lang w:eastAsia="zh-CN"/>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七</w:t>
      </w:r>
      <w:r>
        <w:rPr>
          <w:rFonts w:hint="eastAsia" w:ascii="仿宋_GB2312" w:eastAsia="仿宋_GB2312"/>
          <w:sz w:val="32"/>
          <w:szCs w:val="32"/>
          <w:highlight w:val="none"/>
        </w:rPr>
        <w:t>)机关运行经费：指为保障行政单位（</w:t>
      </w:r>
      <w:r>
        <w:rPr>
          <w:rFonts w:hint="eastAsia" w:ascii="仿宋_GB2312" w:eastAsia="仿宋_GB2312"/>
          <w:sz w:val="32"/>
          <w:szCs w:val="32"/>
          <w:highlight w:val="none"/>
          <w:lang w:eastAsia="zh-CN"/>
        </w:rPr>
        <w:t>包括</w:t>
      </w:r>
      <w:r>
        <w:rPr>
          <w:rFonts w:hint="eastAsia" w:ascii="仿宋_GB2312" w:eastAsia="仿宋_GB2312"/>
          <w:sz w:val="32"/>
          <w:szCs w:val="32"/>
          <w:highlight w:val="none"/>
        </w:rPr>
        <w:t>参照公务员法管理的事业单位）运行用于购买货物和服务的各项资金，</w:t>
      </w:r>
      <w:r>
        <w:rPr>
          <w:rFonts w:ascii="仿宋_GB2312" w:eastAsia="仿宋_GB2312"/>
          <w:sz w:val="32"/>
          <w:szCs w:val="32"/>
          <w:highlight w:val="none"/>
        </w:rPr>
        <w:t>包括办公</w:t>
      </w:r>
      <w:r>
        <w:rPr>
          <w:rFonts w:hint="eastAsia" w:ascii="仿宋_GB2312" w:eastAsia="仿宋_GB2312"/>
          <w:sz w:val="32"/>
          <w:szCs w:val="32"/>
          <w:highlight w:val="none"/>
          <w:lang w:eastAsia="zh-CN"/>
        </w:rPr>
        <w:t>费、</w:t>
      </w:r>
      <w:r>
        <w:rPr>
          <w:rFonts w:ascii="仿宋_GB2312" w:eastAsia="仿宋_GB2312"/>
          <w:sz w:val="32"/>
          <w:szCs w:val="32"/>
          <w:highlight w:val="none"/>
        </w:rPr>
        <w:t>印刷费、邮电费、差旅费、会议费、福利费、日常维修费、专用材料及一般设备购置费、办公用房水电费、</w:t>
      </w:r>
      <w:r>
        <w:rPr>
          <w:rFonts w:hint="eastAsia" w:ascii="仿宋_GB2312" w:eastAsia="仿宋_GB2312"/>
          <w:sz w:val="32"/>
          <w:szCs w:val="32"/>
          <w:highlight w:val="none"/>
        </w:rPr>
        <w:t>办公用房取暖费、</w:t>
      </w:r>
      <w:r>
        <w:rPr>
          <w:rFonts w:ascii="仿宋_GB2312" w:eastAsia="仿宋_GB2312"/>
          <w:sz w:val="32"/>
          <w:szCs w:val="32"/>
          <w:highlight w:val="none"/>
        </w:rPr>
        <w:t>办公用房物业管理费、公务用车运行维护费以及其他费用。</w:t>
      </w:r>
    </w:p>
    <w:p>
      <w:pPr>
        <w:pageBreakBefore w:val="0"/>
        <w:widowControl w:val="0"/>
        <w:shd w:val="clear" w:color="auto" w:fill="auto"/>
        <w:kinsoku/>
        <w:wordWrap/>
        <w:overflowPunct/>
        <w:topLinePunct w:val="0"/>
        <w:bidi w:val="0"/>
        <w:spacing w:line="360" w:lineRule="auto"/>
        <w:ind w:firstLine="640"/>
        <w:textAlignment w:val="auto"/>
        <w:rPr>
          <w:rFonts w:hint="eastAsia" w:ascii="仿宋_GB2312" w:eastAsia="仿宋_GB2312"/>
          <w:sz w:val="32"/>
          <w:szCs w:val="32"/>
          <w:highlight w:val="none"/>
          <w:lang w:eastAsia="zh-CN"/>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八</w:t>
      </w:r>
      <w:r>
        <w:rPr>
          <w:rFonts w:hint="eastAsia" w:ascii="仿宋_GB2312" w:eastAsia="仿宋_GB2312"/>
          <w:sz w:val="32"/>
          <w:szCs w:val="32"/>
          <w:highlight w:val="none"/>
        </w:rPr>
        <w:t>)</w:t>
      </w:r>
      <w:r>
        <w:rPr>
          <w:rFonts w:hint="eastAsia" w:ascii="仿宋_GB2312" w:eastAsia="仿宋_GB2312"/>
          <w:sz w:val="32"/>
          <w:szCs w:val="32"/>
          <w:highlight w:val="none"/>
          <w:lang w:eastAsia="zh-CN"/>
        </w:rPr>
        <w:t>其他专用名词。</w:t>
      </w:r>
    </w:p>
    <w:p>
      <w:pPr>
        <w:pageBreakBefore w:val="0"/>
        <w:widowControl w:val="0"/>
        <w:shd w:val="clear" w:color="auto" w:fill="auto"/>
        <w:kinsoku/>
        <w:wordWrap/>
        <w:overflowPunct/>
        <w:topLinePunct w:val="0"/>
        <w:bidi w:val="0"/>
        <w:spacing w:line="360" w:lineRule="auto"/>
        <w:ind w:firstLine="640"/>
        <w:textAlignment w:val="auto"/>
        <w:rPr>
          <w:rFonts w:hint="eastAsia" w:ascii="仿宋_GB2312" w:eastAsia="仿宋_GB2312"/>
          <w:sz w:val="32"/>
          <w:szCs w:val="32"/>
          <w:highlight w:val="none"/>
        </w:rPr>
      </w:pPr>
      <w:r>
        <w:rPr>
          <w:rFonts w:hint="eastAsia" w:ascii="仿宋_GB2312" w:eastAsia="仿宋_GB2312"/>
          <w:sz w:val="32"/>
          <w:szCs w:val="32"/>
          <w:highlight w:val="none"/>
          <w:lang w:eastAsia="zh-CN"/>
        </w:rPr>
        <w:t>（根据本部门</w:t>
      </w:r>
      <w:r>
        <w:rPr>
          <w:rFonts w:hint="eastAsia" w:ascii="仿宋_GB2312"/>
          <w:sz w:val="32"/>
          <w:szCs w:val="32"/>
          <w:highlight w:val="none"/>
          <w:lang w:eastAsia="zh-CN"/>
        </w:rPr>
        <w:t>（单位）</w:t>
      </w:r>
      <w:r>
        <w:rPr>
          <w:rFonts w:hint="eastAsia" w:ascii="仿宋_GB2312" w:eastAsia="仿宋_GB2312"/>
          <w:sz w:val="32"/>
          <w:szCs w:val="32"/>
          <w:highlight w:val="none"/>
          <w:lang w:eastAsia="zh-CN"/>
        </w:rPr>
        <w:t>使用的</w:t>
      </w:r>
      <w:r>
        <w:rPr>
          <w:rFonts w:hint="eastAsia" w:ascii="仿宋_GB2312" w:eastAsia="仿宋_GB2312"/>
          <w:sz w:val="32"/>
          <w:szCs w:val="32"/>
          <w:highlight w:val="none"/>
        </w:rPr>
        <w:t>其他专用名词</w:t>
      </w:r>
      <w:r>
        <w:rPr>
          <w:rFonts w:hint="eastAsia" w:ascii="仿宋_GB2312" w:eastAsia="仿宋_GB2312"/>
          <w:sz w:val="32"/>
          <w:szCs w:val="32"/>
          <w:highlight w:val="none"/>
          <w:lang w:eastAsia="zh-CN"/>
        </w:rPr>
        <w:t>补充</w:t>
      </w:r>
      <w:r>
        <w:rPr>
          <w:rFonts w:hint="eastAsia" w:ascii="仿宋_GB2312" w:eastAsia="仿宋_GB2312"/>
          <w:sz w:val="32"/>
          <w:szCs w:val="32"/>
          <w:highlight w:val="none"/>
        </w:rPr>
        <w:t>解释</w:t>
      </w:r>
      <w:r>
        <w:rPr>
          <w:rFonts w:hint="eastAsia" w:ascii="仿宋_GB2312" w:eastAsia="仿宋_GB2312"/>
          <w:sz w:val="32"/>
          <w:szCs w:val="32"/>
          <w:highlight w:val="none"/>
          <w:lang w:eastAsia="zh-CN"/>
        </w:rPr>
        <w:t>）</w:t>
      </w:r>
    </w:p>
    <w:p>
      <w:pPr>
        <w:shd w:val="clear" w:color="auto" w:fill="auto"/>
        <w:bidi w:val="0"/>
        <w:ind w:firstLine="640" w:firstLineChars="200"/>
        <w:rPr>
          <w:rFonts w:hint="default"/>
          <w:lang w:val="en-US" w:eastAsia="zh-CN"/>
        </w:rPr>
      </w:pPr>
    </w:p>
    <w:p/>
    <w:sectPr>
      <w:footerReference r:id="rId3" w:type="default"/>
      <w:pgSz w:w="11906" w:h="16838"/>
      <w:pgMar w:top="1440" w:right="1800" w:bottom="1440" w:left="1800" w:header="851" w:footer="992" w:gutter="0"/>
      <w:cols w:space="72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3000509000000000000"/>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00000" w:csb1="00000000"/>
  </w:font>
  <w:font w:name="？？">
    <w:altName w:val="宋体"/>
    <w:panose1 w:val="00000000000000000000"/>
    <w:charset w:val="86"/>
    <w:family w:val="roman"/>
    <w:pitch w:val="default"/>
    <w:sig w:usb0="00000000" w:usb1="00000000" w:usb2="00000010" w:usb3="00000000" w:csb0="00040000" w:csb1="00000000"/>
  </w:font>
  <w:font w:name="FangSong_GB2312">
    <w:altName w:val="仿宋"/>
    <w:panose1 w:val="00000000000000000000"/>
    <w:charset w:val="00"/>
    <w:family w:val="swiss"/>
    <w:pitch w:val="default"/>
    <w:sig w:usb0="00000000"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 w:name="仿宋_GB2312">
    <w:altName w:val="仿宋"/>
    <w:panose1 w:val="02010609030101010101"/>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NzT&#10;xD62AQAAVAMAAA4AAAAAAAAAAQAgAAAAHgEAAGRycy9lMm9Eb2MueG1sUEsFBgAAAAAGAAYAWQEA&#10;AEYFAAAAAA==&#10;">
              <v:fill on="f" focussize="0,0"/>
              <v:stroke on="f"/>
              <v:imagedata o:title=""/>
              <o:lock v:ext="edit" aspectratio="f"/>
              <v:textbox inset="0mm,0mm,0mm,0mm" style="mso-fit-shape-to-text:t;">
                <w:txbxContent>
                  <w:p>
                    <w:pPr>
                      <w:pStyle w:val="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03A988"/>
    <w:multiLevelType w:val="singleLevel"/>
    <w:tmpl w:val="6503A988"/>
    <w:lvl w:ilvl="0" w:tentative="0">
      <w:start w:val="1"/>
      <w:numFmt w:val="chineseCounting"/>
      <w:suff w:val="nothing"/>
      <w:lvlText w:val="%1、"/>
      <w:lvlJc w:val="left"/>
    </w:lvl>
  </w:abstractNum>
  <w:abstractNum w:abstractNumId="1">
    <w:nsid w:val="6503ADB7"/>
    <w:multiLevelType w:val="singleLevel"/>
    <w:tmpl w:val="6503ADB7"/>
    <w:lvl w:ilvl="0" w:tentative="0">
      <w:start w:val="7"/>
      <w:numFmt w:val="chineseCounting"/>
      <w:suff w:val="nothing"/>
      <w:lvlText w:val="%1、"/>
      <w:lvlJc w:val="left"/>
    </w:lvl>
  </w:abstractNum>
  <w:abstractNum w:abstractNumId="2">
    <w:nsid w:val="6503ADF8"/>
    <w:multiLevelType w:val="singleLevel"/>
    <w:tmpl w:val="6503ADF8"/>
    <w:lvl w:ilvl="0" w:tentative="0">
      <w:start w:val="9"/>
      <w:numFmt w:val="chineseCounting"/>
      <w:suff w:val="nothing"/>
      <w:lvlText w:val="%1、"/>
      <w:lvlJc w:val="left"/>
    </w:lvl>
  </w:abstractNum>
  <w:abstractNum w:abstractNumId="3">
    <w:nsid w:val="6503B0E2"/>
    <w:multiLevelType w:val="singleLevel"/>
    <w:tmpl w:val="6503B0E2"/>
    <w:lvl w:ilvl="0" w:tentative="0">
      <w:start w:val="3"/>
      <w:numFmt w:val="chineseCounting"/>
      <w:suff w:val="nothing"/>
      <w:lvlText w:val="%1、"/>
      <w:lvlJc w:val="left"/>
    </w:lvl>
  </w:abstractNum>
  <w:abstractNum w:abstractNumId="4">
    <w:nsid w:val="65040047"/>
    <w:multiLevelType w:val="singleLevel"/>
    <w:tmpl w:val="65040047"/>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78790D"/>
    <w:rsid w:val="00BA3F84"/>
    <w:rsid w:val="019938C8"/>
    <w:rsid w:val="0204033C"/>
    <w:rsid w:val="024C2500"/>
    <w:rsid w:val="02551710"/>
    <w:rsid w:val="02E61C3E"/>
    <w:rsid w:val="03093C2C"/>
    <w:rsid w:val="04F0784E"/>
    <w:rsid w:val="05CA4D67"/>
    <w:rsid w:val="06224341"/>
    <w:rsid w:val="064A3DFF"/>
    <w:rsid w:val="067833ED"/>
    <w:rsid w:val="07365E1A"/>
    <w:rsid w:val="08B744CA"/>
    <w:rsid w:val="09917DF8"/>
    <w:rsid w:val="0A1138F0"/>
    <w:rsid w:val="0AE97EE6"/>
    <w:rsid w:val="0C6512B2"/>
    <w:rsid w:val="0CF86513"/>
    <w:rsid w:val="0D0103CD"/>
    <w:rsid w:val="0D5C5865"/>
    <w:rsid w:val="0E36401F"/>
    <w:rsid w:val="0E942D70"/>
    <w:rsid w:val="0EB35D24"/>
    <w:rsid w:val="0F270DB8"/>
    <w:rsid w:val="0F6F0E31"/>
    <w:rsid w:val="0FD90A6D"/>
    <w:rsid w:val="11933534"/>
    <w:rsid w:val="13A67C65"/>
    <w:rsid w:val="13B71484"/>
    <w:rsid w:val="140917A8"/>
    <w:rsid w:val="156D0917"/>
    <w:rsid w:val="1746703F"/>
    <w:rsid w:val="17E41E36"/>
    <w:rsid w:val="18086427"/>
    <w:rsid w:val="18162B61"/>
    <w:rsid w:val="181859CE"/>
    <w:rsid w:val="190A0C6A"/>
    <w:rsid w:val="1A336FE8"/>
    <w:rsid w:val="1A575132"/>
    <w:rsid w:val="1ADD7385"/>
    <w:rsid w:val="1B7902F8"/>
    <w:rsid w:val="1D4B405A"/>
    <w:rsid w:val="1D6B35DE"/>
    <w:rsid w:val="1DF3078B"/>
    <w:rsid w:val="1E69095E"/>
    <w:rsid w:val="1F5360CE"/>
    <w:rsid w:val="1FDA72F4"/>
    <w:rsid w:val="20686EE4"/>
    <w:rsid w:val="208D58A5"/>
    <w:rsid w:val="212C3AAF"/>
    <w:rsid w:val="22A2000D"/>
    <w:rsid w:val="24CF7722"/>
    <w:rsid w:val="26B27987"/>
    <w:rsid w:val="274A4F48"/>
    <w:rsid w:val="277C61F6"/>
    <w:rsid w:val="2AA77FB5"/>
    <w:rsid w:val="2B336AA3"/>
    <w:rsid w:val="2C6D2B3A"/>
    <w:rsid w:val="2C9B0764"/>
    <w:rsid w:val="2DE92CCE"/>
    <w:rsid w:val="2E156E79"/>
    <w:rsid w:val="2E382A56"/>
    <w:rsid w:val="2E49143F"/>
    <w:rsid w:val="2FB75B76"/>
    <w:rsid w:val="2FD87A0F"/>
    <w:rsid w:val="32210A55"/>
    <w:rsid w:val="326130E6"/>
    <w:rsid w:val="32B16945"/>
    <w:rsid w:val="330333C1"/>
    <w:rsid w:val="356F213C"/>
    <w:rsid w:val="356F7979"/>
    <w:rsid w:val="358A3832"/>
    <w:rsid w:val="362763C1"/>
    <w:rsid w:val="367108B2"/>
    <w:rsid w:val="36F03D3A"/>
    <w:rsid w:val="37E34AF9"/>
    <w:rsid w:val="38680253"/>
    <w:rsid w:val="38D07C63"/>
    <w:rsid w:val="391F45EC"/>
    <w:rsid w:val="3A66426A"/>
    <w:rsid w:val="3BD024A1"/>
    <w:rsid w:val="3C0A1C9E"/>
    <w:rsid w:val="3DAD3D8A"/>
    <w:rsid w:val="40130610"/>
    <w:rsid w:val="4293099D"/>
    <w:rsid w:val="42B464A7"/>
    <w:rsid w:val="42CD3C24"/>
    <w:rsid w:val="43CC4A38"/>
    <w:rsid w:val="49467459"/>
    <w:rsid w:val="49996A75"/>
    <w:rsid w:val="4B3330B4"/>
    <w:rsid w:val="4B634E50"/>
    <w:rsid w:val="4B8049B2"/>
    <w:rsid w:val="4B926DEB"/>
    <w:rsid w:val="4C540D79"/>
    <w:rsid w:val="4CD42BBC"/>
    <w:rsid w:val="4CE65BC6"/>
    <w:rsid w:val="4D022DE5"/>
    <w:rsid w:val="4E2C35C3"/>
    <w:rsid w:val="4F0207B5"/>
    <w:rsid w:val="4F997335"/>
    <w:rsid w:val="4FB44002"/>
    <w:rsid w:val="508C76B4"/>
    <w:rsid w:val="529A78C9"/>
    <w:rsid w:val="52F9041A"/>
    <w:rsid w:val="553619E2"/>
    <w:rsid w:val="56BF0B5A"/>
    <w:rsid w:val="57674E9C"/>
    <w:rsid w:val="576D5F36"/>
    <w:rsid w:val="58275CA3"/>
    <w:rsid w:val="58BD5DA4"/>
    <w:rsid w:val="59484971"/>
    <w:rsid w:val="5C4D6B7D"/>
    <w:rsid w:val="5D572C9A"/>
    <w:rsid w:val="5D66091F"/>
    <w:rsid w:val="5DEA57B9"/>
    <w:rsid w:val="5EB0096B"/>
    <w:rsid w:val="6278790D"/>
    <w:rsid w:val="633113A6"/>
    <w:rsid w:val="645F42EB"/>
    <w:rsid w:val="64806B49"/>
    <w:rsid w:val="64FC0FB8"/>
    <w:rsid w:val="668A4BB2"/>
    <w:rsid w:val="670E56EF"/>
    <w:rsid w:val="67D34ED3"/>
    <w:rsid w:val="6C282C66"/>
    <w:rsid w:val="6C876980"/>
    <w:rsid w:val="6DDE42AC"/>
    <w:rsid w:val="6E060C64"/>
    <w:rsid w:val="6F3701E1"/>
    <w:rsid w:val="705C39D9"/>
    <w:rsid w:val="70E75692"/>
    <w:rsid w:val="735C4961"/>
    <w:rsid w:val="73CF5B72"/>
    <w:rsid w:val="77E85DF2"/>
    <w:rsid w:val="7964304B"/>
    <w:rsid w:val="7AC37DC0"/>
    <w:rsid w:val="7C7200A0"/>
    <w:rsid w:val="7CC57F28"/>
    <w:rsid w:val="7D5E05D1"/>
    <w:rsid w:val="7D7F222D"/>
    <w:rsid w:val="7D8C028D"/>
    <w:rsid w:val="7F892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2"/>
      <w:lang w:val="en-US" w:eastAsia="zh-CN" w:bidi="ar-SA"/>
    </w:rPr>
  </w:style>
  <w:style w:type="paragraph" w:styleId="3">
    <w:name w:val="heading 2"/>
    <w:basedOn w:val="1"/>
    <w:next w:val="1"/>
    <w:unhideWhenUsed/>
    <w:qFormat/>
    <w:uiPriority w:val="0"/>
    <w:pPr>
      <w:widowControl w:val="0"/>
      <w:spacing w:line="560" w:lineRule="atLeast"/>
      <w:ind w:firstLine="200" w:firstLineChars="200"/>
      <w:outlineLvl w:val="1"/>
    </w:pPr>
    <w:rPr>
      <w:rFonts w:ascii="Arial" w:hAnsi="Arial" w:eastAsia="楷体"/>
      <w:bCs/>
      <w:sz w:val="32"/>
      <w:szCs w:val="32"/>
    </w:rPr>
  </w:style>
  <w:style w:type="character" w:default="1" w:styleId="6">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Body Text"/>
    <w:basedOn w:val="1"/>
    <w:uiPriority w:val="0"/>
  </w:style>
  <w:style w:type="paragraph" w:styleId="4">
    <w:name w:val="footer"/>
    <w:basedOn w:val="1"/>
    <w:uiPriority w:val="0"/>
    <w:pPr>
      <w:tabs>
        <w:tab w:val="center" w:pos="4153"/>
        <w:tab w:val="right" w:pos="8306"/>
      </w:tabs>
      <w:snapToGrid w:val="0"/>
      <w:jc w:val="left"/>
    </w:pPr>
    <w:rPr>
      <w:sz w:val="18"/>
    </w:rPr>
  </w:style>
  <w:style w:type="paragraph" w:styleId="5">
    <w:name w:val="Normal (Web)"/>
    <w:basedOn w:val="1"/>
    <w:uiPriority w:val="0"/>
    <w:pPr>
      <w:spacing w:before="100" w:beforeAutospacing="1" w:after="100" w:afterAutospacing="1"/>
      <w:ind w:left="0" w:right="0"/>
      <w:jc w:val="left"/>
    </w:pPr>
    <w:rPr>
      <w:kern w:val="0"/>
      <w:sz w:val="24"/>
      <w:lang w:val="en-US" w:eastAsia="zh-CN" w:bidi="ar"/>
    </w:rPr>
  </w:style>
  <w:style w:type="paragraph" w:customStyle="1" w:styleId="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
    <w:name w:val="正文缩进 + 首行缩进:  2 字符"/>
    <w:basedOn w:val="1"/>
    <w:qFormat/>
    <w:uiPriority w:val="0"/>
    <w:pPr>
      <w:spacing w:line="560" w:lineRule="exact"/>
      <w:ind w:firstLine="640"/>
    </w:pPr>
    <w:rPr>
      <w:rFonts w:ascii="仿宋" w:hAnsi="仿宋" w:eastAsia="仿宋" w:cs="宋体"/>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2023-09-15T00:35:00Z</dcterms:created>
  <dc:creator>111</dc:creator>
  <cp:lastModifiedBy>111</cp:lastModifiedBy>
  <dcterms:modified xsi:type="dcterms:W3CDTF">2023-10-19T09:12:36Z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